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1B6E5">
      <w:bookmarkStart w:id="0" w:name="_Toc15377425"/>
      <w:bookmarkStart w:id="1" w:name="_Toc15377193"/>
      <w:bookmarkStart w:id="2" w:name="_Toc15396597"/>
      <w:bookmarkStart w:id="3" w:name="_Toc15378441"/>
      <w:bookmarkStart w:id="4" w:name="_Toc15396475"/>
      <w:bookmarkStart w:id="5" w:name="_Toc15306267"/>
    </w:p>
    <w:p w14:paraId="51E77F92">
      <w:pPr>
        <w:pStyle w:val="5"/>
        <w:spacing w:before="93"/>
        <w:jc w:val="center"/>
        <w:rPr>
          <w:rFonts w:ascii="Times New Roman" w:eastAsia="方正小标宋简体"/>
          <w:kern w:val="2"/>
          <w:sz w:val="44"/>
          <w:szCs w:val="44"/>
        </w:rPr>
      </w:pPr>
    </w:p>
    <w:p w14:paraId="55BD474C">
      <w:pPr>
        <w:pStyle w:val="5"/>
        <w:spacing w:before="93"/>
        <w:jc w:val="center"/>
        <w:rPr>
          <w:rFonts w:ascii="Times New Roman" w:eastAsia="方正小标宋简体"/>
          <w:kern w:val="2"/>
          <w:sz w:val="44"/>
          <w:szCs w:val="44"/>
        </w:rPr>
      </w:pPr>
    </w:p>
    <w:p w14:paraId="2C9C1E8D">
      <w:pPr>
        <w:pStyle w:val="5"/>
        <w:spacing w:before="93"/>
        <w:jc w:val="center"/>
        <w:rPr>
          <w:rFonts w:ascii="Times New Roman" w:eastAsia="方正小标宋简体"/>
          <w:kern w:val="2"/>
          <w:sz w:val="44"/>
          <w:szCs w:val="44"/>
        </w:rPr>
      </w:pPr>
    </w:p>
    <w:p w14:paraId="4C45966B">
      <w:pPr>
        <w:pStyle w:val="5"/>
        <w:spacing w:before="93"/>
        <w:jc w:val="center"/>
        <w:rPr>
          <w:rFonts w:ascii="Times New Roman" w:eastAsia="方正小标宋简体"/>
          <w:kern w:val="2"/>
          <w:sz w:val="44"/>
          <w:szCs w:val="44"/>
        </w:rPr>
      </w:pPr>
    </w:p>
    <w:bookmarkEnd w:id="0"/>
    <w:bookmarkEnd w:id="1"/>
    <w:bookmarkEnd w:id="2"/>
    <w:bookmarkEnd w:id="3"/>
    <w:bookmarkEnd w:id="4"/>
    <w:p w14:paraId="794CC083">
      <w:pPr>
        <w:pStyle w:val="5"/>
        <w:spacing w:before="93"/>
        <w:jc w:val="center"/>
        <w:rPr>
          <w:rFonts w:hint="eastAsia" w:ascii="Times New Roman" w:eastAsia="方正小标宋简体"/>
          <w:kern w:val="2"/>
          <w:sz w:val="52"/>
          <w:szCs w:val="52"/>
          <w:lang w:eastAsia="zh-CN"/>
        </w:rPr>
      </w:pPr>
      <w:bookmarkStart w:id="6" w:name="_Toc15396598"/>
      <w:bookmarkStart w:id="7" w:name="_Toc15377426"/>
      <w:bookmarkStart w:id="8" w:name="_Toc15377194"/>
      <w:bookmarkStart w:id="9" w:name="_Toc15396476"/>
      <w:bookmarkStart w:id="10" w:name="_Toc15378442"/>
      <w:r>
        <w:rPr>
          <w:rFonts w:hint="eastAsia" w:ascii="Times New Roman" w:eastAsia="方正小标宋简体"/>
          <w:kern w:val="2"/>
          <w:sz w:val="52"/>
          <w:szCs w:val="52"/>
        </w:rPr>
        <w:t>2025年度四川省阿坝州</w:t>
      </w:r>
      <w:bookmarkEnd w:id="5"/>
      <w:bookmarkStart w:id="11" w:name="_Toc15306268"/>
      <w:r>
        <w:rPr>
          <w:rFonts w:hint="eastAsia" w:ascii="Times New Roman" w:eastAsia="方正小标宋简体"/>
          <w:kern w:val="2"/>
          <w:sz w:val="52"/>
          <w:szCs w:val="52"/>
          <w:lang w:eastAsia="zh-CN"/>
        </w:rPr>
        <w:t>人民检察院</w:t>
      </w:r>
    </w:p>
    <w:p w14:paraId="79F3892A">
      <w:pPr>
        <w:pStyle w:val="5"/>
        <w:spacing w:before="93"/>
        <w:jc w:val="center"/>
        <w:rPr>
          <w:rFonts w:ascii="Times New Roman" w:eastAsia="方正小标宋简体"/>
          <w:kern w:val="2"/>
          <w:sz w:val="52"/>
          <w:szCs w:val="52"/>
        </w:rPr>
      </w:pPr>
      <w:r>
        <w:rPr>
          <w:rFonts w:hint="eastAsia" w:ascii="Times New Roman" w:eastAsia="方正小标宋简体"/>
          <w:kern w:val="2"/>
          <w:sz w:val="52"/>
          <w:szCs w:val="52"/>
        </w:rPr>
        <w:t>部门决算</w:t>
      </w:r>
      <w:bookmarkEnd w:id="6"/>
      <w:bookmarkEnd w:id="7"/>
      <w:bookmarkEnd w:id="8"/>
      <w:bookmarkEnd w:id="9"/>
      <w:bookmarkEnd w:id="10"/>
      <w:bookmarkEnd w:id="11"/>
    </w:p>
    <w:p w14:paraId="7EC54470">
      <w:pPr>
        <w:widowControl/>
        <w:jc w:val="center"/>
        <w:rPr>
          <w:rFonts w:eastAsia="黑体"/>
          <w:sz w:val="52"/>
          <w:szCs w:val="52"/>
        </w:rPr>
        <w:sectPr>
          <w:footerReference r:id="rId5" w:type="first"/>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14:paraId="30018DAA">
      <w:pPr>
        <w:widowControl/>
        <w:jc w:val="center"/>
        <w:rPr>
          <w:rFonts w:eastAsia="黑体"/>
          <w:sz w:val="48"/>
          <w:szCs w:val="48"/>
        </w:rPr>
      </w:pPr>
      <w:r>
        <w:rPr>
          <w:rFonts w:hint="eastAsia" w:eastAsia="黑体"/>
          <w:sz w:val="48"/>
          <w:szCs w:val="48"/>
        </w:rPr>
        <w:t>目录</w:t>
      </w:r>
    </w:p>
    <w:p w14:paraId="497EF881">
      <w:pPr>
        <w:widowControl/>
        <w:jc w:val="center"/>
        <w:rPr>
          <w:rFonts w:eastAsia="黑体" w:cstheme="minorBidi"/>
          <w:sz w:val="28"/>
          <w:szCs w:val="28"/>
        </w:rPr>
      </w:pPr>
    </w:p>
    <w:p w14:paraId="576D3C8E">
      <w:pPr>
        <w:pStyle w:val="11"/>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17</w:t>
      </w:r>
      <w:bookmarkStart w:id="70" w:name="_GoBack"/>
      <w:bookmarkEnd w:id="70"/>
      <w:r>
        <w:rPr>
          <w:rFonts w:hint="eastAsia" w:ascii="Times New Roman" w:hAnsi="Times New Roman" w:eastAsia="仿宋_GB2312" w:cs="仿宋_GB2312"/>
          <w:sz w:val="32"/>
          <w:szCs w:val="32"/>
        </w:rPr>
        <w:t>日</w:t>
      </w:r>
    </w:p>
    <w:p w14:paraId="2E3918DB"/>
    <w:p w14:paraId="25ED23A5">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lang w:val="en-US" w:eastAsia="zh-CN"/>
        </w:rPr>
        <w:t>..................................................................1</w:t>
      </w:r>
    </w:p>
    <w:p w14:paraId="5550DE87">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一、部门职责</w:t>
      </w:r>
      <w:r>
        <w:rPr>
          <w:rFonts w:hint="eastAsia" w:eastAsia="仿宋_GB2312" w:cs="仿宋_GB2312"/>
          <w:sz w:val="32"/>
          <w:szCs w:val="32"/>
          <w:lang w:val="en-US" w:eastAsia="zh-CN"/>
        </w:rPr>
        <w:t>....................................................................1</w:t>
      </w:r>
    </w:p>
    <w:p w14:paraId="76C7C651">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二、机构设置</w:t>
      </w:r>
      <w:r>
        <w:rPr>
          <w:rFonts w:hint="eastAsia" w:eastAsia="仿宋_GB2312" w:cs="仿宋_GB2312"/>
          <w:sz w:val="32"/>
          <w:szCs w:val="32"/>
          <w:lang w:val="en-US" w:eastAsia="zh-CN"/>
        </w:rPr>
        <w:t>....................................................................2</w:t>
      </w:r>
    </w:p>
    <w:p w14:paraId="08D2394C">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第二部分 2025年度部门决算情况说明</w:t>
      </w:r>
      <w:r>
        <w:rPr>
          <w:rFonts w:hint="eastAsia" w:ascii="Times New Roman" w:hAnsi="Times New Roman" w:eastAsia="黑体" w:cs="黑体"/>
          <w:sz w:val="32"/>
          <w:szCs w:val="32"/>
          <w:lang w:val="en-US" w:eastAsia="zh-CN"/>
        </w:rPr>
        <w:t>.................................3</w:t>
      </w:r>
    </w:p>
    <w:p w14:paraId="72DBF62D">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....................................3</w:t>
      </w:r>
    </w:p>
    <w:p w14:paraId="64545856">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lang w:val="en-US" w:eastAsia="zh-CN"/>
        </w:rPr>
        <w:t>....................................................3</w:t>
      </w:r>
    </w:p>
    <w:p w14:paraId="17A5585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三、支出决算情况说明</w:t>
      </w:r>
      <w:r>
        <w:rPr>
          <w:rFonts w:hint="eastAsia" w:eastAsia="仿宋_GB2312" w:cs="仿宋_GB2312"/>
          <w:sz w:val="32"/>
          <w:szCs w:val="32"/>
          <w:lang w:val="en-US" w:eastAsia="zh-CN"/>
        </w:rPr>
        <w:t>....................................................4</w:t>
      </w:r>
    </w:p>
    <w:p w14:paraId="6DE3DCB8">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....................4</w:t>
      </w:r>
    </w:p>
    <w:p w14:paraId="2A13AD59">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............5</w:t>
      </w:r>
    </w:p>
    <w:p w14:paraId="0A0B1313">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....7</w:t>
      </w:r>
    </w:p>
    <w:p w14:paraId="0E9DC0C4">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............8</w:t>
      </w:r>
    </w:p>
    <w:p w14:paraId="4706E47F">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.......................10</w:t>
      </w:r>
    </w:p>
    <w:p w14:paraId="3CE71833">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...................10</w:t>
      </w:r>
    </w:p>
    <w:p w14:paraId="16893A97">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.......................................10</w:t>
      </w:r>
    </w:p>
    <w:p w14:paraId="761636C0">
      <w:pPr>
        <w:pStyle w:val="11"/>
        <w:adjustRightInd w:val="0"/>
        <w:snapToGrid w:val="0"/>
        <w:spacing w:before="0" w:line="560" w:lineRule="exact"/>
        <w:jc w:val="left"/>
        <w:rPr>
          <w:rFonts w:hint="default" w:ascii="Times New Roman" w:hAnsi="Times New Roman" w:eastAsia="仿宋_GB2312" w:cs="仿宋_GB2312"/>
          <w:kern w:val="2"/>
          <w:sz w:val="32"/>
          <w:szCs w:val="32"/>
          <w:lang w:val="en-US" w:eastAsia="zh-CN" w:bidi="ar-SA"/>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w:t>
      </w:r>
      <w:r>
        <w:rPr>
          <w:rFonts w:hint="eastAsia" w:ascii="Times New Roman" w:hAnsi="Times New Roman" w:eastAsia="仿宋_GB2312" w:cs="仿宋_GB2312"/>
          <w:kern w:val="2"/>
          <w:sz w:val="32"/>
          <w:szCs w:val="32"/>
          <w:lang w:val="en-US" w:eastAsia="zh-CN" w:bidi="ar-SA"/>
        </w:rPr>
        <w:t>12</w:t>
      </w:r>
    </w:p>
    <w:p w14:paraId="1ACCE9B2">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.........................................................................15</w:t>
      </w:r>
    </w:p>
    <w:p w14:paraId="073ECFE3">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.........................................................................32</w:t>
      </w:r>
    </w:p>
    <w:p w14:paraId="02481A4E">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一、收入支出决算总表</w:t>
      </w:r>
      <w:r>
        <w:rPr>
          <w:rFonts w:hint="eastAsia" w:eastAsia="仿宋_GB2312" w:cs="仿宋_GB2312"/>
          <w:sz w:val="32"/>
          <w:szCs w:val="32"/>
          <w:lang w:val="en-US" w:eastAsia="zh-CN"/>
        </w:rPr>
        <w:t>...................................................32</w:t>
      </w:r>
    </w:p>
    <w:p w14:paraId="755050FD">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二、收入决算表</w:t>
      </w:r>
      <w:r>
        <w:rPr>
          <w:rFonts w:hint="eastAsia" w:eastAsia="仿宋_GB2312" w:cs="仿宋_GB2312"/>
          <w:sz w:val="32"/>
          <w:szCs w:val="32"/>
          <w:lang w:val="en-US" w:eastAsia="zh-CN"/>
        </w:rPr>
        <w:t>...............................................................32</w:t>
      </w:r>
    </w:p>
    <w:p w14:paraId="5B75A256">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三、支出决算表</w:t>
      </w:r>
      <w:r>
        <w:rPr>
          <w:rFonts w:hint="eastAsia" w:eastAsia="仿宋_GB2312" w:cs="仿宋_GB2312"/>
          <w:sz w:val="32"/>
          <w:szCs w:val="32"/>
          <w:lang w:val="en-US" w:eastAsia="zh-CN"/>
        </w:rPr>
        <w:t>...............................................................32</w:t>
      </w:r>
    </w:p>
    <w:p w14:paraId="5D347BEE">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四、财政拨款收入支出决算总表</w:t>
      </w:r>
      <w:r>
        <w:rPr>
          <w:rFonts w:hint="eastAsia" w:eastAsia="仿宋_GB2312" w:cs="仿宋_GB2312"/>
          <w:sz w:val="32"/>
          <w:szCs w:val="32"/>
          <w:lang w:val="en-US" w:eastAsia="zh-CN"/>
        </w:rPr>
        <w:t>....................................32</w:t>
      </w:r>
    </w:p>
    <w:p w14:paraId="104B7686">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五、财政拨款支出决算明细表</w:t>
      </w:r>
      <w:r>
        <w:rPr>
          <w:rFonts w:hint="eastAsia" w:eastAsia="仿宋_GB2312" w:cs="仿宋_GB2312"/>
          <w:sz w:val="32"/>
          <w:szCs w:val="32"/>
          <w:lang w:val="en-US" w:eastAsia="zh-CN"/>
        </w:rPr>
        <w:t>........................................32</w:t>
      </w:r>
    </w:p>
    <w:p w14:paraId="60A0983A">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六、一般公共预算财政拨款支出决算表</w:t>
      </w:r>
      <w:r>
        <w:rPr>
          <w:rFonts w:hint="eastAsia" w:eastAsia="仿宋_GB2312" w:cs="仿宋_GB2312"/>
          <w:sz w:val="32"/>
          <w:szCs w:val="32"/>
          <w:lang w:val="en-US" w:eastAsia="zh-CN"/>
        </w:rPr>
        <w:t>........................32</w:t>
      </w:r>
    </w:p>
    <w:p w14:paraId="6658AF8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七、一般公共预算财政拨款支出决算明细表</w:t>
      </w:r>
      <w:r>
        <w:rPr>
          <w:rFonts w:hint="eastAsia" w:eastAsia="仿宋_GB2312" w:cs="仿宋_GB2312"/>
          <w:sz w:val="32"/>
          <w:szCs w:val="32"/>
          <w:lang w:val="en-US" w:eastAsia="zh-CN"/>
        </w:rPr>
        <w:t>................32</w:t>
      </w:r>
    </w:p>
    <w:p w14:paraId="0A66E90C">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八、一般公共预算财政拨款基本支出决算明细表</w:t>
      </w:r>
      <w:r>
        <w:rPr>
          <w:rFonts w:hint="eastAsia" w:eastAsia="仿宋_GB2312" w:cs="仿宋_GB2312"/>
          <w:sz w:val="32"/>
          <w:szCs w:val="32"/>
          <w:lang w:val="en-US" w:eastAsia="zh-CN"/>
        </w:rPr>
        <w:t>........32</w:t>
      </w:r>
    </w:p>
    <w:p w14:paraId="58B2217F">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九、一般公共预算财政拨款项目支出决算表</w:t>
      </w:r>
      <w:r>
        <w:rPr>
          <w:rFonts w:hint="eastAsia" w:eastAsia="仿宋_GB2312" w:cs="仿宋_GB2312"/>
          <w:sz w:val="32"/>
          <w:szCs w:val="32"/>
          <w:lang w:val="en-US" w:eastAsia="zh-CN"/>
        </w:rPr>
        <w:t>................32</w:t>
      </w:r>
    </w:p>
    <w:p w14:paraId="45847E80">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十、政府性基金预算财政拨款收入支出决算表</w:t>
      </w:r>
      <w:r>
        <w:rPr>
          <w:rFonts w:hint="eastAsia" w:eastAsia="仿宋_GB2312" w:cs="仿宋_GB2312"/>
          <w:sz w:val="32"/>
          <w:szCs w:val="32"/>
          <w:lang w:val="en-US" w:eastAsia="zh-CN"/>
        </w:rPr>
        <w:t>............32</w:t>
      </w:r>
    </w:p>
    <w:p w14:paraId="072B9B9B">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十一、国有资本经营预算财政拨款收入支出决算表</w:t>
      </w:r>
      <w:r>
        <w:rPr>
          <w:rFonts w:hint="eastAsia" w:eastAsia="仿宋_GB2312" w:cs="仿宋_GB2312"/>
          <w:sz w:val="32"/>
          <w:szCs w:val="32"/>
          <w:lang w:val="en-US" w:eastAsia="zh-CN"/>
        </w:rPr>
        <w:t>....32</w:t>
      </w:r>
    </w:p>
    <w:p w14:paraId="4C4BABBC">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十二、国有资本经营预算财政拨款支出决算表</w:t>
      </w:r>
      <w:r>
        <w:rPr>
          <w:rFonts w:hint="eastAsia" w:eastAsia="仿宋_GB2312" w:cs="仿宋_GB2312"/>
          <w:sz w:val="32"/>
          <w:szCs w:val="32"/>
          <w:lang w:val="en-US" w:eastAsia="zh-CN"/>
        </w:rPr>
        <w:t>.............32</w:t>
      </w:r>
    </w:p>
    <w:p w14:paraId="25CFFF3D">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十三、财政拨款“三公”经费支出决算表</w:t>
      </w:r>
      <w:r>
        <w:rPr>
          <w:rFonts w:hint="eastAsia" w:eastAsia="仿宋_GB2312" w:cs="仿宋_GB2312"/>
          <w:sz w:val="32"/>
          <w:szCs w:val="32"/>
          <w:lang w:val="en-US" w:eastAsia="zh-CN"/>
        </w:rPr>
        <w:t>.....................32</w:t>
      </w:r>
    </w:p>
    <w:p w14:paraId="736E835A">
      <w:pPr>
        <w:pStyle w:val="2"/>
        <w:pageBreakBefore w:val="0"/>
        <w:widowControl w:val="0"/>
        <w:kinsoku/>
        <w:wordWrap/>
        <w:overflowPunct/>
        <w:topLinePunct w:val="0"/>
        <w:autoSpaceDE/>
        <w:autoSpaceDN/>
        <w:bidi w:val="0"/>
        <w:adjustRightInd/>
        <w:snapToGrid/>
        <w:spacing w:line="560" w:lineRule="exact"/>
        <w:jc w:val="center"/>
        <w:textAlignment w:val="auto"/>
        <w:rPr>
          <w:rFonts w:hint="eastAsia" w:eastAsia="方正小标宋简体" w:cs="方正小标宋简体"/>
          <w:b w:val="0"/>
        </w:rPr>
        <w:sectPr>
          <w:footerReference r:id="rId7" w:type="first"/>
          <w:footerReference r:id="rId6" w:type="default"/>
          <w:pgSz w:w="11906" w:h="16838"/>
          <w:pgMar w:top="1440" w:right="1800" w:bottom="1440" w:left="1800" w:header="851" w:footer="992" w:gutter="0"/>
          <w:pgNumType w:start="1"/>
          <w:cols w:space="425" w:num="1"/>
          <w:docGrid w:type="lines" w:linePitch="312" w:charSpace="0"/>
        </w:sectPr>
      </w:pPr>
      <w:bookmarkStart w:id="12" w:name="_Toc15377196"/>
      <w:bookmarkStart w:id="13" w:name="_Toc15396599"/>
    </w:p>
    <w:p w14:paraId="5E8780E1">
      <w:pPr>
        <w:pStyle w:val="2"/>
        <w:pageBreakBefore w:val="0"/>
        <w:widowControl w:val="0"/>
        <w:kinsoku/>
        <w:wordWrap/>
        <w:overflowPunct/>
        <w:topLinePunct w:val="0"/>
        <w:autoSpaceDE/>
        <w:autoSpaceDN/>
        <w:bidi w:val="0"/>
        <w:adjustRightInd/>
        <w:snapToGrid/>
        <w:spacing w:line="560" w:lineRule="exact"/>
        <w:jc w:val="center"/>
        <w:textAlignment w:val="auto"/>
        <w:rPr>
          <w:rFonts w:eastAsia="黑体"/>
          <w:sz w:val="32"/>
          <w:szCs w:val="32"/>
        </w:rPr>
      </w:pPr>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12"/>
      <w:bookmarkEnd w:id="13"/>
    </w:p>
    <w:p w14:paraId="7D05A5B8">
      <w:pPr>
        <w:pStyle w:val="3"/>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b w:val="0"/>
        </w:rPr>
      </w:pPr>
      <w:r>
        <w:rPr>
          <w:rFonts w:hint="eastAsia" w:ascii="Times New Roman" w:hAnsi="Times New Roman" w:eastAsia="黑体"/>
          <w:b w:val="0"/>
          <w:lang w:eastAsia="zh-CN"/>
        </w:rPr>
        <w:t>一、</w:t>
      </w:r>
      <w:r>
        <w:rPr>
          <w:rFonts w:hint="eastAsia" w:ascii="Times New Roman" w:hAnsi="Times New Roman" w:eastAsia="黑体"/>
          <w:b w:val="0"/>
        </w:rPr>
        <w:t>部门职责</w:t>
      </w:r>
    </w:p>
    <w:p w14:paraId="7D5BBB6D">
      <w:pPr>
        <w:pStyle w:val="36"/>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 w:eastAsia="仿宋_GB2312"/>
          <w:sz w:val="32"/>
          <w:szCs w:val="32"/>
        </w:rPr>
      </w:pPr>
      <w:r>
        <w:rPr>
          <w:rFonts w:hint="eastAsia" w:ascii="仿宋_GB2312" w:hAnsi="仿宋" w:eastAsia="仿宋_GB2312"/>
          <w:sz w:val="32"/>
          <w:szCs w:val="32"/>
        </w:rPr>
        <w:t>阿坝州人民检察院是国家的法律监督机关。领导全州各县</w:t>
      </w:r>
      <w:r>
        <w:rPr>
          <w:rFonts w:hint="eastAsia" w:ascii="仿宋_GB2312" w:hAnsi="仿宋" w:eastAsia="仿宋_GB2312"/>
          <w:sz w:val="32"/>
          <w:szCs w:val="32"/>
          <w:lang w:eastAsia="zh-CN"/>
        </w:rPr>
        <w:t>（市）</w:t>
      </w:r>
      <w:r>
        <w:rPr>
          <w:rFonts w:hint="eastAsia" w:ascii="仿宋_GB2312" w:hAnsi="仿宋" w:eastAsia="仿宋_GB2312"/>
          <w:sz w:val="32"/>
          <w:szCs w:val="32"/>
        </w:rPr>
        <w:t>人民检察院的工作，对阿坝州人民代表大会及其常务委员会负责并报告工作，根据我国宪法规定，人民检察院主要职责是：依法履行监督职能，保证国家法律的统一和正确实施。</w:t>
      </w:r>
    </w:p>
    <w:p w14:paraId="1D0E346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 xml:space="preserve"> </w:t>
      </w:r>
      <w:r>
        <w:rPr>
          <w:rFonts w:eastAsia="方正仿宋_GBK"/>
          <w:sz w:val="32"/>
          <w:szCs w:val="32"/>
        </w:rPr>
        <w:t>2025</w:t>
      </w:r>
      <w:r>
        <w:rPr>
          <w:rFonts w:hint="eastAsia" w:ascii="仿宋_GB2312" w:hAnsi="仿宋" w:eastAsia="仿宋_GB2312"/>
          <w:sz w:val="32"/>
          <w:szCs w:val="32"/>
        </w:rPr>
        <w:t>年，在州委和省检察院的坚强领导下，在州人大及其常委会的有力监督、州政府的大力支持和州政协的民主监督下，全州检察机关坚持以习近平新时代中国特色社会主义思想为指导，深学笃行习近平法治思想，深入贯彻党的二十大和二十届二中、三中、四中全会精神，认真落实省委、州委十二届历次全会部署，坚决执行州十三届人大四次会议决议，巩固深化党纪学习教育成果，扎实开展深入贯彻中央八项规定精神学习教育，围绕服务保障民族地区高质量发展阿坝典范建设中心任务，按照“1355”工作思路，以品牌为引领推动“四大检察”协同发力、融合发展。</w:t>
      </w:r>
    </w:p>
    <w:p w14:paraId="0124004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eastAsia="方正楷体_GBK"/>
          <w:b/>
          <w:bCs/>
          <w:sz w:val="32"/>
          <w:szCs w:val="32"/>
        </w:rPr>
        <w:t>创新打造“拓岗绛玛”队伍品牌</w:t>
      </w:r>
      <w:r>
        <w:rPr>
          <w:rFonts w:hint="eastAsia" w:eastAsia="方正楷体_GBK"/>
          <w:b/>
          <w:bCs/>
          <w:sz w:val="32"/>
          <w:szCs w:val="32"/>
        </w:rPr>
        <w:t>。</w:t>
      </w:r>
      <w:r>
        <w:rPr>
          <w:rFonts w:hint="eastAsia" w:ascii="仿宋_GB2312" w:hAnsi="仿宋" w:eastAsia="仿宋_GB2312"/>
          <w:sz w:val="32"/>
          <w:szCs w:val="32"/>
        </w:rPr>
        <w:t>形成以队伍品牌为支撑，两大业务品牌为特色的“一体两翼”发展格局，检察队伍获省部级以上表彰表扬4次，入选全省各类优秀人才库12人次。</w:t>
      </w:r>
    </w:p>
    <w:p w14:paraId="4A47FD8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eastAsia="方正楷体_GBK"/>
          <w:b/>
          <w:bCs/>
          <w:sz w:val="32"/>
          <w:szCs w:val="32"/>
        </w:rPr>
        <w:t>迭代升级“格桑梅朵”未检品牌。</w:t>
      </w:r>
      <w:r>
        <w:rPr>
          <w:rFonts w:hint="eastAsia" w:ascii="仿宋_GB2312" w:hAnsi="仿宋" w:eastAsia="仿宋_GB2312"/>
          <w:sz w:val="32"/>
          <w:szCs w:val="32"/>
        </w:rPr>
        <w:t>形成以“爱国主义教育+联络员全域覆盖+社会力量协同”的未检社会支持体系，获评第五届全国检察机关十佳文化品牌。</w:t>
      </w:r>
    </w:p>
    <w:p w14:paraId="6F47129A">
      <w:pPr>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eastAsia="方正楷体_GBK"/>
          <w:b/>
          <w:bCs/>
          <w:sz w:val="32"/>
          <w:szCs w:val="32"/>
        </w:rPr>
        <w:t>拓展深化“鹤翔兰萨”公益诉讼品牌。</w:t>
      </w:r>
      <w:r>
        <w:rPr>
          <w:rFonts w:hint="eastAsia" w:ascii="仿宋_GB2312" w:hAnsi="仿宋" w:eastAsia="仿宋_GB2312"/>
          <w:sz w:val="32"/>
          <w:szCs w:val="32"/>
        </w:rPr>
        <w:t>形成以“一个牵引+区域攻坚”为路径、“三个矩阵+协同治理”为支撑的履职机制，办案团队入选2025年四川省“年度法治人物”。</w:t>
      </w:r>
    </w:p>
    <w:p w14:paraId="5747FF31">
      <w:pPr>
        <w:pStyle w:val="3"/>
        <w:pageBreakBefore w:val="0"/>
        <w:widowControl w:val="0"/>
        <w:kinsoku/>
        <w:wordWrap/>
        <w:overflowPunct/>
        <w:topLinePunct w:val="0"/>
        <w:autoSpaceDE/>
        <w:autoSpaceDN/>
        <w:bidi w:val="0"/>
        <w:adjustRightInd/>
        <w:snapToGrid/>
        <w:spacing w:line="560" w:lineRule="exact"/>
        <w:ind w:firstLine="640" w:firstLineChars="200"/>
        <w:textAlignment w:val="auto"/>
        <w:rPr>
          <w:rStyle w:val="30"/>
          <w:rFonts w:ascii="Times New Roman" w:hAnsi="Times New Roman"/>
          <w:b w:val="0"/>
          <w:bCs w:val="0"/>
        </w:rPr>
      </w:pPr>
      <w:bookmarkStart w:id="14" w:name="_Toc15377200"/>
      <w:bookmarkStart w:id="15" w:name="_Toc15396601"/>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14"/>
      <w:bookmarkEnd w:id="15"/>
    </w:p>
    <w:p w14:paraId="0902E114">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kern w:val="0"/>
          <w:sz w:val="32"/>
          <w:szCs w:val="32"/>
          <w:shd w:val="clear" w:color="auto" w:fill="FFFFFF"/>
          <w:lang w:val="en-US" w:eastAsia="zh-CN" w:bidi="ar"/>
        </w:rPr>
      </w:pPr>
      <w:r>
        <w:rPr>
          <w:rFonts w:hint="eastAsia" w:ascii="仿宋_GB2312" w:hAnsi="仿宋_GB2312" w:eastAsia="仿宋_GB2312" w:cs="仿宋_GB2312"/>
          <w:sz w:val="32"/>
          <w:szCs w:val="32"/>
        </w:rPr>
        <w:t>阿坝藏族羌族自治州人民检察院</w:t>
      </w:r>
      <w:r>
        <w:rPr>
          <w:rFonts w:hint="eastAsia" w:ascii="仿宋_GB2312" w:hAnsi="仿宋_GB2312" w:eastAsia="仿宋_GB2312" w:cs="仿宋_GB2312"/>
          <w:sz w:val="32"/>
          <w:szCs w:val="32"/>
          <w:lang w:val="en-US" w:eastAsia="zh-CN"/>
        </w:rPr>
        <w:t>无</w:t>
      </w:r>
      <w:r>
        <w:rPr>
          <w:rFonts w:hint="eastAsia" w:eastAsia="仿宋_GB2312" w:cs="仿宋_GB2312"/>
          <w:sz w:val="32"/>
          <w:szCs w:val="32"/>
        </w:rPr>
        <w:t>下属二级预算单位。</w:t>
      </w:r>
      <w:r>
        <w:rPr>
          <w:rFonts w:hint="eastAsia" w:ascii="仿宋_GB2312" w:hAnsi="仿宋_GB2312" w:eastAsia="仿宋_GB2312" w:cs="仿宋_GB2312"/>
          <w:bCs/>
          <w:color w:val="000000"/>
          <w:kern w:val="0"/>
          <w:sz w:val="32"/>
          <w:szCs w:val="32"/>
          <w:shd w:val="clear" w:color="auto" w:fill="FFFFFF"/>
          <w:lang w:val="en-US" w:eastAsia="zh-CN" w:bidi="ar"/>
        </w:rPr>
        <w:t>现有内设机构</w:t>
      </w:r>
      <w:r>
        <w:rPr>
          <w:rFonts w:hint="eastAsia" w:ascii="Times New Roman" w:hAnsi="Times New Roman" w:eastAsia="仿宋_GB2312"/>
          <w:color w:val="auto"/>
          <w:sz w:val="32"/>
          <w:szCs w:val="32"/>
          <w:lang w:val="en-US" w:eastAsia="zh-CN"/>
        </w:rPr>
        <w:t>16</w:t>
      </w:r>
      <w:r>
        <w:rPr>
          <w:rFonts w:hint="eastAsia" w:ascii="仿宋_GB2312" w:hAnsi="仿宋_GB2312" w:eastAsia="仿宋_GB2312" w:cs="仿宋_GB2312"/>
          <w:bCs/>
          <w:color w:val="000000"/>
          <w:kern w:val="0"/>
          <w:sz w:val="32"/>
          <w:szCs w:val="32"/>
          <w:shd w:val="clear" w:color="auto" w:fill="FFFFFF"/>
          <w:lang w:val="en-US" w:eastAsia="zh-CN" w:bidi="ar"/>
        </w:rPr>
        <w:t>个，包括办公室（代表委员联络部）、政治部（下设干部处、宣教处、司法警察支队）、第一检察部、第二检察部、第三检察部、第四检察部、第五检察部、第六检察部（生态环境资源检察部）、第七检察部、第八检察部、法律政策研究室、案件管理办公室、计划财务装备部、检务督察部（巡察工作领导小组办公室）、检察技术信息部、机关党委等机构。</w:t>
      </w:r>
    </w:p>
    <w:p w14:paraId="35C035E8">
      <w:pPr>
        <w:widowControl/>
        <w:jc w:val="left"/>
        <w:rPr>
          <w:rFonts w:eastAsia="仿宋"/>
          <w:kern w:val="0"/>
          <w:sz w:val="32"/>
          <w:szCs w:val="32"/>
        </w:rPr>
      </w:pPr>
      <w:r>
        <w:rPr>
          <w:rFonts w:eastAsia="仿宋"/>
          <w:sz w:val="32"/>
          <w:szCs w:val="32"/>
        </w:rPr>
        <w:br w:type="page"/>
      </w:r>
    </w:p>
    <w:p w14:paraId="4A54C9FA">
      <w:pPr>
        <w:pStyle w:val="2"/>
        <w:pageBreakBefore w:val="0"/>
        <w:widowControl w:val="0"/>
        <w:kinsoku/>
        <w:wordWrap/>
        <w:overflowPunct/>
        <w:topLinePunct w:val="0"/>
        <w:autoSpaceDE/>
        <w:autoSpaceDN/>
        <w:bidi w:val="0"/>
        <w:adjustRightInd/>
        <w:snapToGrid/>
        <w:spacing w:line="560" w:lineRule="exact"/>
        <w:jc w:val="center"/>
        <w:textAlignment w:val="auto"/>
      </w:pPr>
      <w:bookmarkStart w:id="16" w:name="_Toc15396602"/>
      <w:bookmarkStart w:id="17" w:name="_Toc15377204"/>
      <w:r>
        <w:rPr>
          <w:rFonts w:hint="eastAsia" w:eastAsia="方正小标宋简体" w:cs="方正小标宋简体"/>
          <w:b w:val="0"/>
        </w:rPr>
        <w:t>第二部分  2025年度部门决算情况说明</w:t>
      </w:r>
      <w:bookmarkEnd w:id="16"/>
      <w:bookmarkEnd w:id="17"/>
    </w:p>
    <w:p w14:paraId="65F3DB41">
      <w:pPr>
        <w:pStyle w:val="28"/>
        <w:pageBreakBefore w:val="0"/>
        <w:widowControl w:val="0"/>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eastAsia="黑体"/>
          <w:b w:val="0"/>
        </w:rPr>
      </w:pPr>
      <w:bookmarkStart w:id="18" w:name="_Toc15396603"/>
      <w:bookmarkStart w:id="19" w:name="_Toc15377205"/>
      <w:r>
        <w:rPr>
          <w:rFonts w:hint="eastAsia" w:eastAsia="黑体"/>
          <w:sz w:val="32"/>
          <w:szCs w:val="32"/>
        </w:rPr>
        <w:t>一、收</w:t>
      </w:r>
      <w:r>
        <w:rPr>
          <w:rStyle w:val="30"/>
          <w:rFonts w:hint="eastAsia" w:ascii="Times New Roman" w:hAnsi="Times New Roman" w:eastAsia="黑体"/>
          <w:b w:val="0"/>
        </w:rPr>
        <w:t>入支出决算总体情况说明</w:t>
      </w:r>
      <w:bookmarkEnd w:id="18"/>
      <w:bookmarkEnd w:id="19"/>
    </w:p>
    <w:p w14:paraId="0031D4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仿宋_GB2312" w:hAnsi="仿宋_GB2312" w:eastAsia="仿宋_GB2312" w:cs="仿宋_GB2312"/>
          <w:bCs/>
          <w:color w:val="000000"/>
          <w:kern w:val="0"/>
          <w:sz w:val="32"/>
          <w:szCs w:val="32"/>
          <w:highlight w:val="yellow"/>
          <w:shd w:val="clear" w:color="auto" w:fill="FFFFFF"/>
          <w:lang w:val="en-US" w:eastAsia="zh-CN" w:bidi="ar"/>
        </w:rPr>
      </w:pPr>
      <w:bookmarkStart w:id="20" w:name="OLE_LINK1"/>
      <w:r>
        <w:rPr>
          <w:rFonts w:hint="eastAsia" w:ascii="Times New Roman" w:hAnsi="Times New Roman" w:eastAsia="仿宋_GB2312" w:cs="Times New Roman"/>
          <w:b w:val="0"/>
          <w:bCs w:val="0"/>
          <w:color w:val="auto"/>
          <w:kern w:val="2"/>
          <w:sz w:val="32"/>
          <w:szCs w:val="32"/>
          <w:lang w:val="en-US" w:eastAsia="zh-CN" w:bidi="ar-SA"/>
        </w:rPr>
        <w:t>2025</w:t>
      </w:r>
      <w:r>
        <w:rPr>
          <w:rFonts w:hint="eastAsia" w:ascii="仿宋_GB2312" w:hAnsi="仿宋_GB2312" w:eastAsia="仿宋_GB2312" w:cs="仿宋_GB2312"/>
          <w:bCs/>
          <w:color w:val="000000"/>
          <w:kern w:val="0"/>
          <w:sz w:val="32"/>
          <w:szCs w:val="32"/>
          <w:shd w:val="clear" w:color="auto" w:fill="FFFFFF"/>
          <w:lang w:val="en-US" w:eastAsia="zh-CN" w:bidi="ar"/>
        </w:rPr>
        <w:t>年度收入总计</w:t>
      </w:r>
      <w:r>
        <w:rPr>
          <w:rFonts w:hint="eastAsia" w:ascii="Times New Roman" w:hAnsi="Times New Roman" w:eastAsia="仿宋_GB2312" w:cs="Times New Roman"/>
          <w:b w:val="0"/>
          <w:bCs w:val="0"/>
          <w:color w:val="auto"/>
          <w:kern w:val="2"/>
          <w:sz w:val="32"/>
          <w:szCs w:val="32"/>
          <w:lang w:val="en-US" w:eastAsia="zh-CN" w:bidi="ar-SA"/>
        </w:rPr>
        <w:t>3786.97</w:t>
      </w:r>
      <w:r>
        <w:rPr>
          <w:rFonts w:hint="eastAsia" w:ascii="仿宋_GB2312" w:hAnsi="仿宋_GB2312" w:eastAsia="仿宋_GB2312" w:cs="仿宋_GB2312"/>
          <w:bCs/>
          <w:color w:val="000000"/>
          <w:kern w:val="0"/>
          <w:sz w:val="32"/>
          <w:szCs w:val="32"/>
          <w:shd w:val="clear" w:color="auto" w:fill="FFFFFF"/>
          <w:lang w:val="en-US" w:eastAsia="zh-CN" w:bidi="ar"/>
        </w:rPr>
        <w:t>万元。与</w:t>
      </w:r>
      <w:r>
        <w:rPr>
          <w:rFonts w:hint="eastAsia" w:ascii="Times New Roman" w:hAnsi="Times New Roman" w:eastAsia="仿宋_GB2312" w:cs="Times New Roman"/>
          <w:b w:val="0"/>
          <w:bCs w:val="0"/>
          <w:color w:val="auto"/>
          <w:kern w:val="2"/>
          <w:sz w:val="32"/>
          <w:szCs w:val="32"/>
          <w:lang w:val="en-US" w:eastAsia="zh-CN" w:bidi="ar-SA"/>
        </w:rPr>
        <w:t>2024</w:t>
      </w:r>
      <w:r>
        <w:rPr>
          <w:rFonts w:hint="eastAsia" w:ascii="仿宋_GB2312" w:hAnsi="仿宋_GB2312" w:eastAsia="仿宋_GB2312" w:cs="仿宋_GB2312"/>
          <w:bCs/>
          <w:color w:val="000000"/>
          <w:kern w:val="0"/>
          <w:sz w:val="32"/>
          <w:szCs w:val="32"/>
          <w:shd w:val="clear" w:color="auto" w:fill="FFFFFF"/>
          <w:lang w:val="en-US" w:eastAsia="zh-CN" w:bidi="ar"/>
        </w:rPr>
        <w:t>年度</w:t>
      </w:r>
      <w:r>
        <w:rPr>
          <w:rFonts w:hint="eastAsia" w:ascii="Times New Roman" w:hAnsi="Times New Roman" w:eastAsia="仿宋_GB2312" w:cs="Times New Roman"/>
          <w:b w:val="0"/>
          <w:bCs w:val="0"/>
          <w:color w:val="auto"/>
          <w:kern w:val="2"/>
          <w:sz w:val="32"/>
          <w:szCs w:val="32"/>
          <w:lang w:val="en-US" w:eastAsia="zh-CN" w:bidi="ar-SA"/>
        </w:rPr>
        <w:t>4301.56</w:t>
      </w:r>
      <w:r>
        <w:rPr>
          <w:rFonts w:hint="eastAsia" w:ascii="仿宋_GB2312" w:hAnsi="仿宋_GB2312" w:eastAsia="仿宋_GB2312" w:cs="仿宋_GB2312"/>
          <w:bCs/>
          <w:color w:val="000000"/>
          <w:kern w:val="0"/>
          <w:sz w:val="32"/>
          <w:szCs w:val="32"/>
          <w:shd w:val="clear" w:color="auto" w:fill="FFFFFF"/>
          <w:lang w:val="en-US" w:eastAsia="zh-CN" w:bidi="ar"/>
        </w:rPr>
        <w:t>万元相比，收入总计减少</w:t>
      </w:r>
      <w:r>
        <w:rPr>
          <w:rFonts w:hint="eastAsia" w:ascii="Times New Roman" w:hAnsi="Times New Roman" w:eastAsia="仿宋_GB2312" w:cs="Times New Roman"/>
          <w:b w:val="0"/>
          <w:bCs w:val="0"/>
          <w:color w:val="auto"/>
          <w:kern w:val="2"/>
          <w:sz w:val="32"/>
          <w:szCs w:val="32"/>
          <w:lang w:val="en-US" w:eastAsia="zh-CN" w:bidi="ar-SA"/>
        </w:rPr>
        <w:t>514.59</w:t>
      </w:r>
      <w:r>
        <w:rPr>
          <w:rFonts w:hint="eastAsia" w:ascii="仿宋_GB2312" w:hAnsi="仿宋_GB2312" w:eastAsia="仿宋_GB2312" w:cs="仿宋_GB2312"/>
          <w:bCs/>
          <w:color w:val="000000"/>
          <w:kern w:val="0"/>
          <w:sz w:val="32"/>
          <w:szCs w:val="32"/>
          <w:shd w:val="clear" w:color="auto" w:fill="FFFFFF"/>
          <w:lang w:val="en-US" w:eastAsia="zh-CN" w:bidi="ar"/>
        </w:rPr>
        <w:t>万元，下降</w:t>
      </w:r>
      <w:r>
        <w:rPr>
          <w:rFonts w:hint="eastAsia" w:ascii="Times New Roman" w:hAnsi="Times New Roman" w:eastAsia="仿宋_GB2312" w:cs="Times New Roman"/>
          <w:b w:val="0"/>
          <w:bCs w:val="0"/>
          <w:color w:val="auto"/>
          <w:kern w:val="2"/>
          <w:sz w:val="32"/>
          <w:szCs w:val="32"/>
          <w:lang w:val="en-US" w:eastAsia="zh-CN" w:bidi="ar-SA"/>
        </w:rPr>
        <w:t>11.96</w:t>
      </w:r>
      <w:r>
        <w:rPr>
          <w:rFonts w:hint="eastAsia" w:ascii="仿宋_GB2312" w:hAnsi="仿宋_GB2312" w:eastAsia="仿宋_GB2312" w:cs="仿宋_GB2312"/>
          <w:bCs/>
          <w:color w:val="000000"/>
          <w:kern w:val="0"/>
          <w:sz w:val="32"/>
          <w:szCs w:val="32"/>
          <w:shd w:val="clear" w:color="auto" w:fill="FFFFFF"/>
          <w:lang w:val="en-US" w:eastAsia="zh-CN" w:bidi="ar"/>
        </w:rPr>
        <w:t>%。主要变动原因是按财政厉行节俭的要求，压减公用经费；同级保障项目数减少，项目经费减少。</w:t>
      </w:r>
    </w:p>
    <w:bookmarkEnd w:id="20"/>
    <w:p w14:paraId="717263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kern w:val="0"/>
          <w:sz w:val="32"/>
          <w:szCs w:val="32"/>
          <w:shd w:val="clear" w:color="auto" w:fill="FFFFFF"/>
          <w:lang w:val="en-US" w:eastAsia="zh-CN" w:bidi="ar"/>
        </w:rPr>
      </w:pPr>
      <w:r>
        <w:rPr>
          <w:rFonts w:hint="eastAsia" w:ascii="Times New Roman" w:hAnsi="Times New Roman" w:eastAsia="仿宋_GB2312" w:cs="Times New Roman"/>
          <w:b w:val="0"/>
          <w:bCs w:val="0"/>
          <w:color w:val="auto"/>
          <w:kern w:val="2"/>
          <w:sz w:val="32"/>
          <w:szCs w:val="32"/>
          <w:lang w:val="en-US" w:eastAsia="zh-CN" w:bidi="ar-SA"/>
        </w:rPr>
        <w:t>2025</w:t>
      </w:r>
      <w:r>
        <w:rPr>
          <w:rFonts w:hint="eastAsia" w:ascii="仿宋_GB2312" w:hAnsi="仿宋_GB2312" w:eastAsia="仿宋_GB2312" w:cs="仿宋_GB2312"/>
          <w:bCs/>
          <w:color w:val="000000"/>
          <w:kern w:val="0"/>
          <w:sz w:val="32"/>
          <w:szCs w:val="32"/>
          <w:shd w:val="clear" w:color="auto" w:fill="FFFFFF"/>
          <w:lang w:val="en-US" w:eastAsia="zh-CN" w:bidi="ar"/>
        </w:rPr>
        <w:t>年度支出总计</w:t>
      </w:r>
      <w:r>
        <w:rPr>
          <w:rFonts w:hint="eastAsia" w:ascii="Times New Roman" w:hAnsi="Times New Roman" w:eastAsia="仿宋_GB2312" w:cs="Times New Roman"/>
          <w:b w:val="0"/>
          <w:bCs w:val="0"/>
          <w:color w:val="auto"/>
          <w:kern w:val="2"/>
          <w:sz w:val="32"/>
          <w:szCs w:val="32"/>
          <w:lang w:val="en-US" w:eastAsia="zh-CN" w:bidi="ar-SA"/>
        </w:rPr>
        <w:t>3786.97</w:t>
      </w:r>
      <w:r>
        <w:rPr>
          <w:rFonts w:hint="eastAsia" w:ascii="仿宋_GB2312" w:hAnsi="仿宋_GB2312" w:eastAsia="仿宋_GB2312" w:cs="仿宋_GB2312"/>
          <w:bCs/>
          <w:color w:val="000000"/>
          <w:kern w:val="0"/>
          <w:sz w:val="32"/>
          <w:szCs w:val="32"/>
          <w:shd w:val="clear" w:color="auto" w:fill="FFFFFF"/>
          <w:lang w:val="en-US" w:eastAsia="zh-CN" w:bidi="ar"/>
        </w:rPr>
        <w:t>万元。与</w:t>
      </w:r>
      <w:r>
        <w:rPr>
          <w:rFonts w:hint="eastAsia" w:ascii="Times New Roman" w:hAnsi="Times New Roman" w:eastAsia="仿宋_GB2312" w:cs="Times New Roman"/>
          <w:b w:val="0"/>
          <w:bCs w:val="0"/>
          <w:color w:val="auto"/>
          <w:kern w:val="2"/>
          <w:sz w:val="32"/>
          <w:szCs w:val="32"/>
          <w:lang w:val="en-US" w:eastAsia="zh-CN" w:bidi="ar-SA"/>
        </w:rPr>
        <w:t>2024</w:t>
      </w:r>
      <w:r>
        <w:rPr>
          <w:rFonts w:hint="eastAsia" w:ascii="仿宋_GB2312" w:hAnsi="仿宋_GB2312" w:eastAsia="仿宋_GB2312" w:cs="仿宋_GB2312"/>
          <w:bCs/>
          <w:color w:val="000000"/>
          <w:kern w:val="0"/>
          <w:sz w:val="32"/>
          <w:szCs w:val="32"/>
          <w:shd w:val="clear" w:color="auto" w:fill="FFFFFF"/>
          <w:lang w:val="en-US" w:eastAsia="zh-CN" w:bidi="ar"/>
        </w:rPr>
        <w:t>年度</w:t>
      </w:r>
      <w:r>
        <w:rPr>
          <w:rFonts w:hint="eastAsia" w:ascii="Times New Roman" w:hAnsi="Times New Roman" w:eastAsia="仿宋_GB2312" w:cs="Times New Roman"/>
          <w:b w:val="0"/>
          <w:bCs w:val="0"/>
          <w:color w:val="auto"/>
          <w:kern w:val="2"/>
          <w:sz w:val="32"/>
          <w:szCs w:val="32"/>
          <w:lang w:val="en-US" w:eastAsia="zh-CN" w:bidi="ar-SA"/>
        </w:rPr>
        <w:t>4301.56</w:t>
      </w:r>
      <w:r>
        <w:rPr>
          <w:rFonts w:hint="eastAsia" w:ascii="仿宋_GB2312" w:hAnsi="仿宋_GB2312" w:eastAsia="仿宋_GB2312" w:cs="仿宋_GB2312"/>
          <w:bCs/>
          <w:color w:val="000000"/>
          <w:kern w:val="0"/>
          <w:sz w:val="32"/>
          <w:szCs w:val="32"/>
          <w:shd w:val="clear" w:color="auto" w:fill="FFFFFF"/>
          <w:lang w:val="en-US" w:eastAsia="zh-CN" w:bidi="ar"/>
        </w:rPr>
        <w:t>万元相比，支出总计减少</w:t>
      </w:r>
      <w:r>
        <w:rPr>
          <w:rFonts w:hint="eastAsia" w:ascii="Times New Roman" w:hAnsi="Times New Roman" w:eastAsia="仿宋_GB2312" w:cs="Times New Roman"/>
          <w:b w:val="0"/>
          <w:bCs w:val="0"/>
          <w:color w:val="auto"/>
          <w:kern w:val="2"/>
          <w:sz w:val="32"/>
          <w:szCs w:val="32"/>
          <w:lang w:val="en-US" w:eastAsia="zh-CN" w:bidi="ar-SA"/>
        </w:rPr>
        <w:t>514.59</w:t>
      </w:r>
      <w:r>
        <w:rPr>
          <w:rFonts w:hint="eastAsia" w:ascii="仿宋_GB2312" w:hAnsi="仿宋_GB2312" w:eastAsia="仿宋_GB2312" w:cs="仿宋_GB2312"/>
          <w:bCs/>
          <w:color w:val="000000"/>
          <w:kern w:val="0"/>
          <w:sz w:val="32"/>
          <w:szCs w:val="32"/>
          <w:shd w:val="clear" w:color="auto" w:fill="FFFFFF"/>
          <w:lang w:val="en-US" w:eastAsia="zh-CN" w:bidi="ar"/>
        </w:rPr>
        <w:t>万元，下降</w:t>
      </w:r>
      <w:r>
        <w:rPr>
          <w:rFonts w:hint="eastAsia" w:ascii="Times New Roman" w:hAnsi="Times New Roman" w:eastAsia="仿宋_GB2312" w:cs="Times New Roman"/>
          <w:b w:val="0"/>
          <w:bCs w:val="0"/>
          <w:color w:val="auto"/>
          <w:kern w:val="2"/>
          <w:sz w:val="32"/>
          <w:szCs w:val="32"/>
          <w:lang w:val="en-US" w:eastAsia="zh-CN" w:bidi="ar-SA"/>
        </w:rPr>
        <w:t>11.96</w:t>
      </w:r>
      <w:r>
        <w:rPr>
          <w:rFonts w:hint="eastAsia" w:ascii="仿宋_GB2312" w:hAnsi="仿宋_GB2312" w:eastAsia="仿宋_GB2312" w:cs="仿宋_GB2312"/>
          <w:bCs/>
          <w:color w:val="000000"/>
          <w:kern w:val="0"/>
          <w:sz w:val="32"/>
          <w:szCs w:val="32"/>
          <w:shd w:val="clear" w:color="auto" w:fill="FFFFFF"/>
          <w:lang w:val="en-US" w:eastAsia="zh-CN" w:bidi="ar"/>
        </w:rPr>
        <w:t>%。主要变动原因是按财政厉行节俭的要求，压减公用经费；同级保障项目数减少，项目经费减少。</w:t>
      </w:r>
    </w:p>
    <w:p w14:paraId="0D1DDE77">
      <w:pPr>
        <w:keepNext w:val="0"/>
        <w:keepLines w:val="0"/>
        <w:pageBreakBefore w:val="0"/>
        <w:widowControl w:val="0"/>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bCs/>
          <w:color w:val="000000"/>
          <w:kern w:val="0"/>
          <w:sz w:val="32"/>
          <w:szCs w:val="32"/>
          <w:shd w:val="clear" w:color="auto" w:fill="FFFFFF"/>
          <w:lang w:val="en-US" w:eastAsia="zh-CN" w:bidi="ar"/>
        </w:rPr>
      </w:pPr>
      <w:r>
        <w:rPr>
          <w:rFonts w:hint="eastAsia" w:ascii="仿宋_GB2312" w:hAnsi="仿宋_GB2312" w:eastAsia="仿宋_GB2312" w:cs="仿宋_GB2312"/>
          <w:bCs/>
          <w:color w:val="000000"/>
          <w:kern w:val="0"/>
          <w:sz w:val="32"/>
          <w:szCs w:val="32"/>
          <w:shd w:val="clear" w:color="auto" w:fill="FFFFFF"/>
          <w:lang w:val="en-US" w:eastAsia="zh-CN" w:bidi="ar"/>
        </w:rPr>
        <w:drawing>
          <wp:inline distT="0" distB="0" distL="114300" distR="114300">
            <wp:extent cx="5426710" cy="3054350"/>
            <wp:effectExtent l="4445" t="4445" r="17145" b="825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09EBFF">
      <w:pPr>
        <w:pStyle w:val="2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1"/>
        <w:rPr>
          <w:rFonts w:hint="eastAsia" w:eastAsia="仿宋_GB2312" w:cs="仿宋_GB2312"/>
          <w:sz w:val="32"/>
          <w:szCs w:val="32"/>
          <w:highlight w:val="none"/>
        </w:rPr>
      </w:pPr>
      <w:r>
        <w:rPr>
          <w:rFonts w:hint="eastAsia" w:eastAsia="仿宋_GB2312" w:cs="仿宋_GB2312"/>
          <w:sz w:val="32"/>
          <w:szCs w:val="32"/>
          <w:highlight w:val="none"/>
        </w:rPr>
        <w:t>（图1：收入、支出决算总计变动情况图）</w:t>
      </w:r>
      <w:bookmarkStart w:id="21" w:name="_Toc15396604"/>
      <w:bookmarkStart w:id="22" w:name="_Toc15377206"/>
    </w:p>
    <w:p w14:paraId="62AD7693">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eastAsia="黑体"/>
          <w:sz w:val="32"/>
          <w:szCs w:val="32"/>
        </w:rPr>
      </w:pPr>
      <w:r>
        <w:rPr>
          <w:rFonts w:hint="eastAsia" w:eastAsia="黑体"/>
          <w:sz w:val="32"/>
          <w:szCs w:val="32"/>
        </w:rPr>
        <w:t>二、收入决算情况说明</w:t>
      </w:r>
      <w:bookmarkEnd w:id="21"/>
      <w:bookmarkEnd w:id="22"/>
    </w:p>
    <w:p w14:paraId="4B6C62AB">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sz w:val="32"/>
          <w:szCs w:val="32"/>
        </w:rPr>
        <w:t>年度本年收入合计</w:t>
      </w:r>
      <w:r>
        <w:rPr>
          <w:rFonts w:hint="eastAsia" w:eastAsia="仿宋_GB2312" w:cs="仿宋_GB2312"/>
          <w:kern w:val="2"/>
          <w:sz w:val="32"/>
          <w:szCs w:val="32"/>
          <w:lang w:val="en-US" w:eastAsia="zh-CN" w:bidi="ar-SA"/>
        </w:rPr>
        <w:t>3751.5</w:t>
      </w:r>
      <w:r>
        <w:rPr>
          <w:rFonts w:hint="eastAsia" w:ascii="仿宋_GB2312" w:hAnsi="仿宋_GB2312" w:eastAsia="仿宋_GB2312" w:cs="仿宋_GB2312"/>
          <w:sz w:val="32"/>
          <w:szCs w:val="32"/>
        </w:rPr>
        <w:t>万元，其中：一般公共预算财政拨款收入</w:t>
      </w:r>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sz w:val="32"/>
          <w:szCs w:val="32"/>
        </w:rPr>
        <w:t>万元，占</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sz w:val="32"/>
          <w:szCs w:val="32"/>
        </w:rPr>
        <w:t>%。</w:t>
      </w:r>
    </w:p>
    <w:p w14:paraId="3A970ED2">
      <w:pPr>
        <w:pStyle w:val="2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1"/>
        <w:rPr>
          <w:rFonts w:hint="eastAsia" w:ascii="Times New Roman" w:hAnsi="Times New Roman" w:eastAsia="仿宋_GB2312" w:cs="仿宋_GB2312"/>
          <w:sz w:val="32"/>
          <w:szCs w:val="32"/>
          <w:highlight w:val="none"/>
          <w:lang w:eastAsia="zh-CN"/>
        </w:rPr>
      </w:pPr>
      <w:r>
        <w:rPr>
          <w:rFonts w:hint="eastAsia" w:ascii="Times New Roman" w:hAnsi="Times New Roman" w:eastAsia="仿宋_GB2312" w:cs="仿宋_GB2312"/>
          <w:sz w:val="32"/>
          <w:szCs w:val="32"/>
          <w:highlight w:val="none"/>
          <w:lang w:eastAsia="zh-CN"/>
        </w:rPr>
        <w:drawing>
          <wp:inline distT="0" distB="0" distL="114300" distR="114300">
            <wp:extent cx="5370195" cy="2845435"/>
            <wp:effectExtent l="4445" t="4445" r="16510" b="762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491D60">
      <w:pPr>
        <w:pStyle w:val="28"/>
        <w:spacing w:line="600" w:lineRule="exact"/>
        <w:ind w:left="0" w:leftChars="0" w:firstLine="0" w:firstLineChars="0"/>
        <w:jc w:val="center"/>
        <w:outlineLvl w:val="1"/>
        <w:rPr>
          <w:rFonts w:eastAsia="仿宋_GB2312" w:cs="仿宋_GB2312"/>
          <w:sz w:val="32"/>
          <w:szCs w:val="32"/>
          <w:highlight w:val="none"/>
        </w:rPr>
      </w:pPr>
      <w:r>
        <w:rPr>
          <w:rFonts w:hint="eastAsia" w:ascii="Times New Roman" w:hAnsi="Times New Roman" w:eastAsia="仿宋_GB2312" w:cs="仿宋_GB2312"/>
          <w:sz w:val="32"/>
          <w:szCs w:val="32"/>
          <w:highlight w:val="none"/>
        </w:rPr>
        <w:t>（图2：收入决算结构图）</w:t>
      </w:r>
    </w:p>
    <w:p w14:paraId="6A99C1FF">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eastAsia="黑体"/>
          <w:b w:val="0"/>
        </w:rPr>
      </w:pPr>
      <w:bookmarkStart w:id="23" w:name="_Toc15377207"/>
      <w:bookmarkStart w:id="24" w:name="_Toc15396605"/>
      <w:r>
        <w:rPr>
          <w:rFonts w:hint="eastAsia" w:eastAsia="黑体"/>
          <w:sz w:val="32"/>
          <w:szCs w:val="32"/>
        </w:rPr>
        <w:t>三、支</w:t>
      </w:r>
      <w:r>
        <w:rPr>
          <w:rStyle w:val="30"/>
          <w:rFonts w:hint="eastAsia" w:ascii="Times New Roman" w:hAnsi="Times New Roman" w:eastAsia="黑体"/>
          <w:b w:val="0"/>
        </w:rPr>
        <w:t>出决算情况说明</w:t>
      </w:r>
      <w:bookmarkEnd w:id="23"/>
      <w:bookmarkEnd w:id="24"/>
    </w:p>
    <w:p w14:paraId="5F24044F">
      <w:pPr>
        <w:pStyle w:val="28"/>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sz w:val="32"/>
          <w:szCs w:val="32"/>
        </w:rPr>
        <w:t>年度本年支出合计</w:t>
      </w:r>
      <w:r>
        <w:rPr>
          <w:rFonts w:hint="eastAsia" w:eastAsia="仿宋_GB2312" w:cs="仿宋_GB2312"/>
          <w:kern w:val="2"/>
          <w:sz w:val="32"/>
          <w:szCs w:val="32"/>
          <w:lang w:val="en-US" w:eastAsia="zh-CN" w:bidi="ar-SA"/>
        </w:rPr>
        <w:t>3786.89</w:t>
      </w:r>
      <w:r>
        <w:rPr>
          <w:rFonts w:hint="eastAsia" w:ascii="仿宋_GB2312" w:hAnsi="仿宋_GB2312" w:eastAsia="仿宋_GB2312" w:cs="仿宋_GB2312"/>
          <w:sz w:val="32"/>
          <w:szCs w:val="32"/>
        </w:rPr>
        <w:t>万元，其中：基本支出</w:t>
      </w:r>
      <w:r>
        <w:rPr>
          <w:rFonts w:hint="eastAsia" w:ascii="Times New Roman" w:hAnsi="Times New Roman" w:eastAsia="仿宋_GB2312" w:cs="仿宋_GB2312"/>
          <w:kern w:val="2"/>
          <w:sz w:val="32"/>
          <w:szCs w:val="32"/>
          <w:lang w:val="en-US" w:eastAsia="zh-CN" w:bidi="ar-SA"/>
        </w:rPr>
        <w:t>2601.72</w:t>
      </w:r>
      <w:r>
        <w:rPr>
          <w:rFonts w:hint="eastAsia" w:ascii="仿宋_GB2312" w:hAnsi="仿宋_GB2312" w:eastAsia="仿宋_GB2312" w:cs="仿宋_GB2312"/>
          <w:sz w:val="32"/>
          <w:szCs w:val="32"/>
        </w:rPr>
        <w:t>万元，占</w:t>
      </w:r>
      <w:r>
        <w:rPr>
          <w:rFonts w:hint="eastAsia" w:ascii="Times New Roman" w:hAnsi="Times New Roman" w:eastAsia="仿宋_GB2312" w:cs="仿宋_GB2312"/>
          <w:kern w:val="2"/>
          <w:sz w:val="32"/>
          <w:szCs w:val="32"/>
          <w:lang w:val="en-US" w:eastAsia="zh-CN" w:bidi="ar-SA"/>
        </w:rPr>
        <w:t>68.7</w:t>
      </w:r>
      <w:r>
        <w:rPr>
          <w:rFonts w:hint="eastAsia" w:ascii="仿宋_GB2312" w:hAnsi="仿宋_GB2312" w:eastAsia="仿宋_GB2312" w:cs="仿宋_GB2312"/>
          <w:sz w:val="32"/>
          <w:szCs w:val="32"/>
        </w:rPr>
        <w:t>%；项目支出</w:t>
      </w:r>
      <w:r>
        <w:rPr>
          <w:rFonts w:hint="eastAsia" w:ascii="Times New Roman" w:hAnsi="Times New Roman" w:eastAsia="仿宋_GB2312" w:cs="仿宋_GB2312"/>
          <w:kern w:val="2"/>
          <w:sz w:val="32"/>
          <w:szCs w:val="32"/>
          <w:lang w:val="en-US" w:eastAsia="zh-CN" w:bidi="ar-SA"/>
        </w:rPr>
        <w:t>1185.17</w:t>
      </w:r>
      <w:r>
        <w:rPr>
          <w:rFonts w:hint="eastAsia" w:ascii="仿宋_GB2312" w:hAnsi="仿宋_GB2312" w:eastAsia="仿宋_GB2312" w:cs="仿宋_GB2312"/>
          <w:sz w:val="32"/>
          <w:szCs w:val="32"/>
        </w:rPr>
        <w:t>万元，占</w:t>
      </w:r>
      <w:r>
        <w:rPr>
          <w:rFonts w:hint="eastAsia" w:eastAsia="仿宋_GB2312" w:cs="仿宋_GB2312"/>
          <w:kern w:val="2"/>
          <w:sz w:val="32"/>
          <w:szCs w:val="32"/>
          <w:lang w:val="en-US" w:eastAsia="zh-CN" w:bidi="ar-SA"/>
        </w:rPr>
        <w:t>31.3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p>
    <w:p w14:paraId="2717B3FE">
      <w:pPr>
        <w:pStyle w:val="2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1"/>
        <w:rPr>
          <w:rFonts w:hint="eastAsia" w:eastAsia="仿宋_GB2312" w:cs="仿宋_GB2312"/>
          <w:sz w:val="32"/>
          <w:szCs w:val="32"/>
          <w:highlight w:val="none"/>
          <w:lang w:eastAsia="zh-CN"/>
        </w:rPr>
      </w:pPr>
      <w:r>
        <w:rPr>
          <w:rFonts w:hint="eastAsia" w:eastAsia="仿宋_GB2312" w:cs="仿宋_GB2312"/>
          <w:sz w:val="32"/>
          <w:szCs w:val="32"/>
          <w:highlight w:val="none"/>
          <w:lang w:eastAsia="zh-CN"/>
        </w:rPr>
        <w:drawing>
          <wp:inline distT="0" distB="0" distL="114300" distR="114300">
            <wp:extent cx="5473700" cy="3082925"/>
            <wp:effectExtent l="4445" t="4445" r="8255" b="1778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98E7F89">
      <w:pPr>
        <w:pStyle w:val="2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eastAsia="仿宋_GB2312" w:cs="仿宋_GB2312"/>
          <w:sz w:val="32"/>
          <w:szCs w:val="32"/>
          <w:highlight w:val="none"/>
        </w:rPr>
      </w:pPr>
      <w:r>
        <w:rPr>
          <w:rFonts w:hint="eastAsia" w:eastAsia="仿宋_GB2312" w:cs="仿宋_GB2312"/>
          <w:sz w:val="32"/>
          <w:szCs w:val="32"/>
          <w:highlight w:val="none"/>
        </w:rPr>
        <w:t>（图3：支出决算结构图）</w:t>
      </w:r>
    </w:p>
    <w:p w14:paraId="13E825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0"/>
          <w:rFonts w:ascii="Times New Roman" w:hAnsi="Times New Roman" w:eastAsia="黑体"/>
          <w:b w:val="0"/>
        </w:rPr>
      </w:pPr>
      <w:bookmarkStart w:id="25" w:name="_Toc15377208"/>
      <w:bookmarkStart w:id="26" w:name="_Toc15396606"/>
      <w:r>
        <w:rPr>
          <w:rFonts w:hint="eastAsia" w:eastAsia="黑体"/>
          <w:sz w:val="32"/>
          <w:szCs w:val="32"/>
        </w:rPr>
        <w:t>四、财</w:t>
      </w:r>
      <w:r>
        <w:rPr>
          <w:rStyle w:val="30"/>
          <w:rFonts w:hint="eastAsia" w:ascii="Times New Roman" w:hAnsi="Times New Roman" w:eastAsia="黑体"/>
          <w:b w:val="0"/>
        </w:rPr>
        <w:t>政拨款收入支出决算总体情况说明</w:t>
      </w:r>
      <w:bookmarkEnd w:id="25"/>
      <w:bookmarkEnd w:id="26"/>
    </w:p>
    <w:p w14:paraId="021974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kern w:val="0"/>
          <w:sz w:val="32"/>
          <w:szCs w:val="32"/>
          <w:shd w:val="clear" w:color="auto" w:fill="FFFFFF"/>
          <w:lang w:val="en-US" w:eastAsia="zh-CN" w:bidi="ar"/>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bCs/>
          <w:color w:val="000000"/>
          <w:kern w:val="0"/>
          <w:sz w:val="32"/>
          <w:szCs w:val="32"/>
          <w:shd w:val="clear" w:color="auto" w:fill="FFFFFF"/>
          <w:lang w:val="en-US" w:eastAsia="zh-CN" w:bidi="ar"/>
        </w:rPr>
        <w:t>年度</w:t>
      </w:r>
      <w:bookmarkStart w:id="27" w:name="OLE_LINK2"/>
      <w:r>
        <w:rPr>
          <w:rFonts w:hint="eastAsia" w:ascii="仿宋_GB2312" w:hAnsi="仿宋_GB2312" w:eastAsia="仿宋_GB2312" w:cs="仿宋_GB2312"/>
          <w:bCs/>
          <w:color w:val="000000"/>
          <w:kern w:val="0"/>
          <w:sz w:val="32"/>
          <w:szCs w:val="32"/>
          <w:shd w:val="clear" w:color="auto" w:fill="FFFFFF"/>
          <w:lang w:val="en-US" w:eastAsia="zh-CN" w:bidi="ar"/>
        </w:rPr>
        <w:t>财政拨款收入</w:t>
      </w:r>
      <w:bookmarkEnd w:id="27"/>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bCs/>
          <w:color w:val="000000"/>
          <w:kern w:val="0"/>
          <w:sz w:val="32"/>
          <w:szCs w:val="32"/>
          <w:shd w:val="clear" w:color="auto" w:fill="FFFFFF"/>
          <w:lang w:val="en-US" w:eastAsia="zh-CN" w:bidi="ar"/>
        </w:rPr>
        <w:t>万元。与</w:t>
      </w:r>
      <w:r>
        <w:rPr>
          <w:rFonts w:hint="eastAsia" w:ascii="Times New Roman" w:hAnsi="Times New Roman" w:eastAsia="仿宋_GB2312" w:cs="仿宋_GB2312"/>
          <w:kern w:val="2"/>
          <w:sz w:val="32"/>
          <w:szCs w:val="32"/>
          <w:lang w:val="en-US" w:eastAsia="zh-CN" w:bidi="ar-SA"/>
        </w:rPr>
        <w:t>2024</w:t>
      </w:r>
      <w:r>
        <w:rPr>
          <w:rFonts w:hint="eastAsia" w:ascii="仿宋_GB2312" w:hAnsi="仿宋_GB2312" w:eastAsia="仿宋_GB2312" w:cs="仿宋_GB2312"/>
          <w:bCs/>
          <w:color w:val="000000"/>
          <w:kern w:val="0"/>
          <w:sz w:val="32"/>
          <w:szCs w:val="32"/>
          <w:shd w:val="clear" w:color="auto" w:fill="FFFFFF"/>
          <w:lang w:val="en-US" w:eastAsia="zh-CN" w:bidi="ar"/>
        </w:rPr>
        <w:t>年度</w:t>
      </w:r>
      <w:r>
        <w:rPr>
          <w:rFonts w:hint="eastAsia" w:ascii="Times New Roman" w:hAnsi="Times New Roman" w:eastAsia="仿宋_GB2312" w:cs="仿宋_GB2312"/>
          <w:kern w:val="2"/>
          <w:sz w:val="32"/>
          <w:szCs w:val="32"/>
          <w:lang w:val="en-US" w:eastAsia="zh-CN" w:bidi="ar-SA"/>
        </w:rPr>
        <w:t>4237.41</w:t>
      </w:r>
      <w:r>
        <w:rPr>
          <w:rFonts w:hint="eastAsia" w:ascii="仿宋_GB2312" w:hAnsi="仿宋_GB2312" w:eastAsia="仿宋_GB2312" w:cs="仿宋_GB2312"/>
          <w:bCs/>
          <w:color w:val="000000"/>
          <w:kern w:val="0"/>
          <w:sz w:val="32"/>
          <w:szCs w:val="32"/>
          <w:shd w:val="clear" w:color="auto" w:fill="FFFFFF"/>
          <w:lang w:val="en-US" w:eastAsia="zh-CN" w:bidi="ar"/>
        </w:rPr>
        <w:t>万元相比，财政拨款收入减少</w:t>
      </w:r>
      <w:r>
        <w:rPr>
          <w:rFonts w:hint="eastAsia" w:ascii="Times New Roman" w:hAnsi="Times New Roman" w:eastAsia="仿宋_GB2312" w:cs="仿宋_GB2312"/>
          <w:kern w:val="2"/>
          <w:sz w:val="32"/>
          <w:szCs w:val="32"/>
          <w:lang w:val="en-US" w:eastAsia="zh-CN" w:bidi="ar-SA"/>
        </w:rPr>
        <w:t>485.91</w:t>
      </w:r>
      <w:r>
        <w:rPr>
          <w:rFonts w:hint="eastAsia" w:ascii="仿宋_GB2312" w:hAnsi="仿宋_GB2312" w:eastAsia="仿宋_GB2312" w:cs="仿宋_GB2312"/>
          <w:bCs/>
          <w:color w:val="000000"/>
          <w:kern w:val="0"/>
          <w:sz w:val="32"/>
          <w:szCs w:val="32"/>
          <w:shd w:val="clear" w:color="auto" w:fill="FFFFFF"/>
          <w:lang w:val="en-US" w:eastAsia="zh-CN" w:bidi="ar"/>
        </w:rPr>
        <w:t>万元，下降</w:t>
      </w:r>
      <w:r>
        <w:rPr>
          <w:rFonts w:hint="eastAsia" w:ascii="Times New Roman" w:hAnsi="Times New Roman" w:eastAsia="仿宋_GB2312" w:cs="仿宋_GB2312"/>
          <w:kern w:val="2"/>
          <w:sz w:val="32"/>
          <w:szCs w:val="32"/>
          <w:lang w:val="en-US" w:eastAsia="zh-CN" w:bidi="ar-SA"/>
        </w:rPr>
        <w:t>11.47</w:t>
      </w:r>
      <w:r>
        <w:rPr>
          <w:rFonts w:hint="eastAsia" w:ascii="仿宋_GB2312" w:hAnsi="仿宋_GB2312" w:eastAsia="仿宋_GB2312" w:cs="仿宋_GB2312"/>
          <w:bCs/>
          <w:color w:val="000000"/>
          <w:kern w:val="0"/>
          <w:sz w:val="32"/>
          <w:szCs w:val="32"/>
          <w:shd w:val="clear" w:color="auto" w:fill="FFFFFF"/>
          <w:lang w:val="en-US" w:eastAsia="zh-CN" w:bidi="ar"/>
        </w:rPr>
        <w:t>%。主要变动原因是按财政厉行节俭的要求，压减公用经费；同级保障项目数减少，项目经费减少。</w:t>
      </w:r>
    </w:p>
    <w:p w14:paraId="33BB48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bCs/>
          <w:color w:val="000000"/>
          <w:kern w:val="0"/>
          <w:sz w:val="32"/>
          <w:szCs w:val="32"/>
          <w:shd w:val="clear" w:color="auto" w:fill="FFFFFF"/>
          <w:lang w:val="en-US" w:eastAsia="zh-CN" w:bidi="ar"/>
        </w:rPr>
        <w:t>年度</w:t>
      </w:r>
      <w:bookmarkStart w:id="28" w:name="OLE_LINK3"/>
      <w:r>
        <w:rPr>
          <w:rFonts w:hint="eastAsia" w:ascii="仿宋_GB2312" w:hAnsi="仿宋_GB2312" w:eastAsia="仿宋_GB2312" w:cs="仿宋_GB2312"/>
          <w:bCs/>
          <w:color w:val="000000"/>
          <w:kern w:val="0"/>
          <w:sz w:val="32"/>
          <w:szCs w:val="32"/>
          <w:shd w:val="clear" w:color="auto" w:fill="FFFFFF"/>
          <w:lang w:val="en-US" w:eastAsia="zh-CN" w:bidi="ar"/>
        </w:rPr>
        <w:t>财政拨款支出</w:t>
      </w:r>
      <w:bookmarkEnd w:id="28"/>
      <w:r>
        <w:rPr>
          <w:rFonts w:hint="eastAsia" w:ascii="仿宋_GB2312" w:hAnsi="仿宋_GB2312" w:eastAsia="仿宋_GB2312" w:cs="仿宋_GB2312"/>
          <w:bCs/>
          <w:color w:val="000000"/>
          <w:kern w:val="0"/>
          <w:sz w:val="32"/>
          <w:szCs w:val="32"/>
          <w:shd w:val="clear" w:color="auto" w:fill="FFFFFF"/>
          <w:lang w:val="en-US" w:eastAsia="zh-CN" w:bidi="ar"/>
        </w:rPr>
        <w:t>为</w:t>
      </w:r>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bCs/>
          <w:color w:val="000000"/>
          <w:kern w:val="0"/>
          <w:sz w:val="32"/>
          <w:szCs w:val="32"/>
          <w:shd w:val="clear" w:color="auto" w:fill="FFFFFF"/>
          <w:lang w:val="en-US" w:eastAsia="zh-CN" w:bidi="ar"/>
        </w:rPr>
        <w:t>万元。与</w:t>
      </w:r>
      <w:r>
        <w:rPr>
          <w:rFonts w:hint="eastAsia" w:ascii="Times New Roman" w:hAnsi="Times New Roman" w:eastAsia="仿宋_GB2312" w:cs="仿宋_GB2312"/>
          <w:kern w:val="2"/>
          <w:sz w:val="32"/>
          <w:szCs w:val="32"/>
          <w:lang w:val="en-US" w:eastAsia="zh-CN" w:bidi="ar-SA"/>
        </w:rPr>
        <w:t>2024</w:t>
      </w:r>
      <w:r>
        <w:rPr>
          <w:rFonts w:hint="eastAsia" w:ascii="仿宋_GB2312" w:hAnsi="仿宋_GB2312" w:eastAsia="仿宋_GB2312" w:cs="仿宋_GB2312"/>
          <w:bCs/>
          <w:color w:val="000000"/>
          <w:kern w:val="0"/>
          <w:sz w:val="32"/>
          <w:szCs w:val="32"/>
          <w:shd w:val="clear" w:color="auto" w:fill="FFFFFF"/>
          <w:lang w:val="en-US" w:eastAsia="zh-CN" w:bidi="ar"/>
        </w:rPr>
        <w:t>年度</w:t>
      </w:r>
      <w:r>
        <w:rPr>
          <w:rFonts w:hint="eastAsia" w:ascii="Times New Roman" w:hAnsi="Times New Roman" w:eastAsia="仿宋_GB2312" w:cs="仿宋_GB2312"/>
          <w:kern w:val="2"/>
          <w:sz w:val="32"/>
          <w:szCs w:val="32"/>
          <w:lang w:val="en-US" w:eastAsia="zh-CN" w:bidi="ar-SA"/>
        </w:rPr>
        <w:t>4237.41</w:t>
      </w:r>
      <w:r>
        <w:rPr>
          <w:rFonts w:hint="eastAsia" w:ascii="仿宋_GB2312" w:hAnsi="仿宋_GB2312" w:eastAsia="仿宋_GB2312" w:cs="仿宋_GB2312"/>
          <w:bCs/>
          <w:color w:val="000000"/>
          <w:kern w:val="0"/>
          <w:sz w:val="32"/>
          <w:szCs w:val="32"/>
          <w:shd w:val="clear" w:color="auto" w:fill="FFFFFF"/>
          <w:lang w:val="en-US" w:eastAsia="zh-CN" w:bidi="ar"/>
        </w:rPr>
        <w:t>万元相比，财财政拨款支出减少</w:t>
      </w:r>
      <w:r>
        <w:rPr>
          <w:rFonts w:hint="eastAsia" w:ascii="Times New Roman" w:hAnsi="Times New Roman" w:eastAsia="仿宋_GB2312" w:cs="仿宋_GB2312"/>
          <w:kern w:val="2"/>
          <w:sz w:val="32"/>
          <w:szCs w:val="32"/>
          <w:lang w:val="en-US" w:eastAsia="zh-CN" w:bidi="ar-SA"/>
        </w:rPr>
        <w:t>485.91</w:t>
      </w:r>
      <w:r>
        <w:rPr>
          <w:rFonts w:hint="eastAsia" w:ascii="仿宋_GB2312" w:hAnsi="仿宋_GB2312" w:eastAsia="仿宋_GB2312" w:cs="仿宋_GB2312"/>
          <w:bCs/>
          <w:color w:val="000000"/>
          <w:kern w:val="0"/>
          <w:sz w:val="32"/>
          <w:szCs w:val="32"/>
          <w:shd w:val="clear" w:color="auto" w:fill="FFFFFF"/>
          <w:lang w:val="en-US" w:eastAsia="zh-CN" w:bidi="ar"/>
        </w:rPr>
        <w:t>万元，下降</w:t>
      </w:r>
      <w:r>
        <w:rPr>
          <w:rFonts w:hint="eastAsia" w:ascii="Times New Roman" w:hAnsi="Times New Roman" w:eastAsia="仿宋_GB2312" w:cs="仿宋_GB2312"/>
          <w:kern w:val="2"/>
          <w:sz w:val="32"/>
          <w:szCs w:val="32"/>
          <w:lang w:val="en-US" w:eastAsia="zh-CN" w:bidi="ar-SA"/>
        </w:rPr>
        <w:t>11.47</w:t>
      </w:r>
      <w:r>
        <w:rPr>
          <w:rFonts w:hint="eastAsia" w:ascii="仿宋_GB2312" w:hAnsi="仿宋_GB2312" w:eastAsia="仿宋_GB2312" w:cs="仿宋_GB2312"/>
          <w:bCs/>
          <w:color w:val="000000"/>
          <w:kern w:val="0"/>
          <w:sz w:val="32"/>
          <w:szCs w:val="32"/>
          <w:shd w:val="clear" w:color="auto" w:fill="FFFFFF"/>
          <w:lang w:val="en-US" w:eastAsia="zh-CN" w:bidi="ar"/>
        </w:rPr>
        <w:t>%。主要变动原因是按财政厉行节俭的要求，压减公用经费；同级保障项目数减少，项目经费减少。</w:t>
      </w:r>
    </w:p>
    <w:p w14:paraId="6C21CE5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仿宋_GB2312" w:cs="仿宋_GB2312"/>
          <w:sz w:val="32"/>
          <w:szCs w:val="32"/>
          <w:highlight w:val="none"/>
          <w:lang w:eastAsia="zh-CN"/>
        </w:rPr>
      </w:pPr>
      <w:r>
        <w:rPr>
          <w:rFonts w:hint="eastAsia" w:eastAsia="仿宋_GB2312" w:cs="仿宋_GB2312"/>
          <w:sz w:val="32"/>
          <w:szCs w:val="32"/>
          <w:highlight w:val="none"/>
          <w:lang w:eastAsia="zh-CN"/>
        </w:rPr>
        <w:drawing>
          <wp:inline distT="0" distB="0" distL="114300" distR="114300">
            <wp:extent cx="5427345" cy="3368675"/>
            <wp:effectExtent l="4445" t="4445" r="16510" b="1778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A0BAE3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仿宋_GB2312" w:cs="仿宋_GB2312"/>
          <w:sz w:val="32"/>
          <w:szCs w:val="32"/>
          <w:highlight w:val="none"/>
        </w:rPr>
      </w:pPr>
      <w:r>
        <w:rPr>
          <w:rFonts w:hint="eastAsia" w:eastAsia="仿宋_GB2312" w:cs="仿宋_GB2312"/>
          <w:sz w:val="32"/>
          <w:szCs w:val="32"/>
          <w:highlight w:val="none"/>
        </w:rPr>
        <w:t>（图4：财政拨款收、支决算总计变动情况）</w:t>
      </w:r>
    </w:p>
    <w:p w14:paraId="036902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0"/>
          <w:rFonts w:ascii="Times New Roman" w:hAnsi="Times New Roman" w:eastAsia="黑体"/>
          <w:b w:val="0"/>
        </w:rPr>
      </w:pPr>
      <w:bookmarkStart w:id="29" w:name="_Toc15396607"/>
      <w:bookmarkStart w:id="30" w:name="_Toc15377209"/>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29"/>
      <w:bookmarkEnd w:id="30"/>
    </w:p>
    <w:p w14:paraId="30D5604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31" w:name="_Toc15377210"/>
      <w:r>
        <w:rPr>
          <w:rFonts w:hint="eastAsia" w:eastAsia="楷体_GB2312" w:cs="楷体_GB2312"/>
          <w:b/>
          <w:sz w:val="32"/>
          <w:szCs w:val="32"/>
        </w:rPr>
        <w:t>（一）一般公共预算财政拨款支出决算总体情况</w:t>
      </w:r>
      <w:bookmarkEnd w:id="31"/>
    </w:p>
    <w:p w14:paraId="1806C4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sz w:val="32"/>
          <w:szCs w:val="32"/>
        </w:rPr>
        <w:t>年度一般公共预算财政拨款支出</w:t>
      </w:r>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sz w:val="32"/>
          <w:szCs w:val="32"/>
        </w:rPr>
        <w:t>万元，占本年支出合计的</w:t>
      </w:r>
      <w:r>
        <w:rPr>
          <w:rFonts w:hint="eastAsia" w:eastAsia="仿宋_GB2312" w:cs="仿宋_GB2312"/>
          <w:kern w:val="2"/>
          <w:sz w:val="32"/>
          <w:szCs w:val="32"/>
          <w:lang w:val="en-US" w:eastAsia="zh-CN" w:bidi="ar-SA"/>
        </w:rPr>
        <w:t>100</w:t>
      </w:r>
      <w:r>
        <w:rPr>
          <w:rFonts w:hint="eastAsia" w:ascii="仿宋_GB2312" w:hAnsi="仿宋_GB2312" w:eastAsia="仿宋_GB2312" w:cs="仿宋_GB2312"/>
          <w:sz w:val="32"/>
          <w:szCs w:val="32"/>
        </w:rPr>
        <w:t>%。与</w:t>
      </w:r>
      <w:r>
        <w:rPr>
          <w:rFonts w:hint="eastAsia" w:ascii="Times New Roman" w:hAnsi="Times New Roman" w:eastAsia="仿宋_GB2312" w:cs="仿宋_GB2312"/>
          <w:kern w:val="2"/>
          <w:sz w:val="32"/>
          <w:szCs w:val="32"/>
          <w:lang w:val="en-US" w:eastAsia="zh-CN" w:bidi="ar-SA"/>
        </w:rPr>
        <w:t>2024</w:t>
      </w:r>
      <w:r>
        <w:rPr>
          <w:rFonts w:hint="eastAsia" w:ascii="仿宋_GB2312" w:hAnsi="仿宋_GB2312" w:eastAsia="仿宋_GB2312" w:cs="仿宋_GB2312"/>
          <w:sz w:val="32"/>
          <w:szCs w:val="32"/>
        </w:rPr>
        <w:t>年度相比，一般公共预算财政拨款支出</w:t>
      </w:r>
      <w:r>
        <w:rPr>
          <w:rFonts w:hint="eastAsia" w:ascii="仿宋_GB2312" w:hAnsi="仿宋_GB2312" w:eastAsia="仿宋_GB2312" w:cs="仿宋_GB2312"/>
          <w:sz w:val="32"/>
          <w:szCs w:val="32"/>
          <w:lang w:eastAsia="zh-CN"/>
        </w:rPr>
        <w:t>减少</w:t>
      </w:r>
      <w:r>
        <w:rPr>
          <w:rFonts w:hint="eastAsia" w:ascii="Times New Roman" w:hAnsi="Times New Roman" w:eastAsia="仿宋_GB2312" w:cs="仿宋_GB2312"/>
          <w:kern w:val="2"/>
          <w:sz w:val="32"/>
          <w:szCs w:val="32"/>
          <w:lang w:val="en-US" w:eastAsia="zh-CN" w:bidi="ar-SA"/>
        </w:rPr>
        <w:t>485.91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Times New Roman" w:hAnsi="Times New Roman" w:eastAsia="仿宋_GB2312" w:cs="仿宋_GB2312"/>
          <w:kern w:val="2"/>
          <w:sz w:val="32"/>
          <w:szCs w:val="32"/>
          <w:lang w:val="en-US" w:eastAsia="zh-CN" w:bidi="ar-SA"/>
        </w:rPr>
        <w:t>11.47</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bCs/>
          <w:color w:val="000000"/>
          <w:kern w:val="0"/>
          <w:sz w:val="32"/>
          <w:szCs w:val="32"/>
          <w:shd w:val="clear" w:color="auto" w:fill="FFFFFF"/>
          <w:lang w:val="en-US" w:eastAsia="zh-CN" w:bidi="ar"/>
        </w:rPr>
        <w:t>按财政厉行节俭的要求，压减公用经费；同级保障项目数减少，项目经费减少。</w:t>
      </w:r>
    </w:p>
    <w:p w14:paraId="0C588E2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仿宋_GB2312" w:cs="仿宋_GB2312"/>
          <w:sz w:val="32"/>
          <w:szCs w:val="32"/>
          <w:highlight w:val="none"/>
          <w:lang w:eastAsia="zh-CN"/>
        </w:rPr>
      </w:pPr>
      <w:r>
        <w:rPr>
          <w:rFonts w:hint="eastAsia" w:eastAsia="仿宋_GB2312" w:cs="仿宋_GB2312"/>
          <w:sz w:val="32"/>
          <w:szCs w:val="32"/>
          <w:highlight w:val="none"/>
          <w:lang w:eastAsia="zh-CN"/>
        </w:rPr>
        <w:drawing>
          <wp:inline distT="0" distB="0" distL="114300" distR="114300">
            <wp:extent cx="5409565" cy="2940685"/>
            <wp:effectExtent l="4445" t="4445" r="15240" b="762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0E9A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仿宋_GB2312" w:cs="仿宋_GB2312"/>
          <w:sz w:val="32"/>
          <w:szCs w:val="32"/>
          <w:highlight w:val="none"/>
        </w:rPr>
      </w:pPr>
      <w:r>
        <w:rPr>
          <w:rFonts w:hint="eastAsia" w:eastAsia="仿宋_GB2312" w:cs="仿宋_GB2312"/>
          <w:sz w:val="32"/>
          <w:szCs w:val="32"/>
          <w:highlight w:val="none"/>
        </w:rPr>
        <w:t>（图5：一般公共预算财政拨款支出决算变动情况）</w:t>
      </w:r>
    </w:p>
    <w:p w14:paraId="73C262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32" w:name="_Toc15377211"/>
      <w:r>
        <w:rPr>
          <w:rFonts w:hint="eastAsia" w:eastAsia="楷体_GB2312" w:cs="楷体_GB2312"/>
          <w:b/>
          <w:sz w:val="32"/>
          <w:szCs w:val="32"/>
        </w:rPr>
        <w:t>（二）一般公共预算财政拨款支出决算结构情况</w:t>
      </w:r>
      <w:bookmarkEnd w:id="32"/>
    </w:p>
    <w:p w14:paraId="1AE42E4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eastAsia="仿宋_GB2312" w:cs="仿宋_GB2312"/>
          <w:sz w:val="32"/>
          <w:szCs w:val="32"/>
        </w:rPr>
        <w:t>年度一般公共预算财政拨款支出</w:t>
      </w:r>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w:t>
      </w:r>
      <w:r>
        <w:rPr>
          <w:rFonts w:hint="eastAsia" w:eastAsia="仿宋_GB2312" w:cs="仿宋_GB2312"/>
          <w:sz w:val="32"/>
          <w:szCs w:val="32"/>
          <w:lang w:val="en-US" w:eastAsia="zh-CN"/>
        </w:rPr>
        <w:t>公共安全支出</w:t>
      </w:r>
      <w:r>
        <w:rPr>
          <w:rFonts w:hint="eastAsia" w:ascii="Times New Roman" w:hAnsi="Times New Roman" w:eastAsia="仿宋_GB2312" w:cs="仿宋_GB2312"/>
          <w:kern w:val="2"/>
          <w:sz w:val="32"/>
          <w:szCs w:val="32"/>
          <w:lang w:val="en-US" w:eastAsia="zh-CN" w:bidi="ar-SA"/>
        </w:rPr>
        <w:t>3246.62</w:t>
      </w:r>
      <w:r>
        <w:rPr>
          <w:rFonts w:hint="eastAsia" w:eastAsia="仿宋_GB2312" w:cs="仿宋_GB2312"/>
          <w:sz w:val="32"/>
          <w:szCs w:val="32"/>
          <w:lang w:val="en-US" w:eastAsia="zh-CN"/>
        </w:rPr>
        <w:t>万元，占</w:t>
      </w:r>
      <w:r>
        <w:rPr>
          <w:rFonts w:hint="eastAsia" w:ascii="Times New Roman" w:hAnsi="Times New Roman" w:eastAsia="仿宋_GB2312" w:cs="仿宋_GB2312"/>
          <w:kern w:val="2"/>
          <w:sz w:val="32"/>
          <w:szCs w:val="32"/>
          <w:lang w:val="en-US" w:eastAsia="zh-CN" w:bidi="ar-SA"/>
        </w:rPr>
        <w:t>86.55</w:t>
      </w:r>
      <w:r>
        <w:rPr>
          <w:rFonts w:hint="eastAsia" w:eastAsia="仿宋_GB2312" w:cs="仿宋_GB2312"/>
          <w:sz w:val="32"/>
          <w:szCs w:val="32"/>
          <w:lang w:val="en-US" w:eastAsia="zh-CN"/>
        </w:rPr>
        <w:t>%；</w:t>
      </w:r>
      <w:r>
        <w:rPr>
          <w:rFonts w:hint="eastAsia" w:eastAsia="仿宋_GB2312" w:cs="仿宋_GB2312"/>
          <w:sz w:val="32"/>
          <w:szCs w:val="32"/>
        </w:rPr>
        <w:t>社会保障和就业支出</w:t>
      </w:r>
      <w:r>
        <w:rPr>
          <w:rFonts w:hint="eastAsia" w:ascii="Times New Roman" w:hAnsi="Times New Roman" w:eastAsia="仿宋_GB2312" w:cs="仿宋_GB2312"/>
          <w:kern w:val="2"/>
          <w:sz w:val="32"/>
          <w:szCs w:val="32"/>
          <w:lang w:val="en-US" w:eastAsia="zh-CN" w:bidi="ar-SA"/>
        </w:rPr>
        <w:t>230.87</w:t>
      </w:r>
      <w:r>
        <w:rPr>
          <w:rFonts w:hint="eastAsia" w:eastAsia="仿宋_GB2312" w:cs="仿宋_GB2312"/>
          <w:sz w:val="32"/>
          <w:szCs w:val="32"/>
        </w:rPr>
        <w:t>万元，占</w:t>
      </w:r>
      <w:r>
        <w:rPr>
          <w:rFonts w:hint="eastAsia" w:ascii="Times New Roman" w:hAnsi="Times New Roman" w:eastAsia="仿宋_GB2312" w:cs="仿宋_GB2312"/>
          <w:kern w:val="2"/>
          <w:sz w:val="32"/>
          <w:szCs w:val="32"/>
          <w:lang w:val="en-US" w:eastAsia="zh-CN" w:bidi="ar-SA"/>
        </w:rPr>
        <w:t>6.15</w:t>
      </w:r>
      <w:r>
        <w:rPr>
          <w:rFonts w:hint="eastAsia" w:eastAsia="仿宋_GB2312" w:cs="仿宋_GB2312"/>
          <w:sz w:val="32"/>
          <w:szCs w:val="32"/>
        </w:rPr>
        <w:t>%；卫生健康支出</w:t>
      </w:r>
      <w:r>
        <w:rPr>
          <w:rFonts w:hint="eastAsia" w:eastAsia="仿宋_GB2312" w:cs="仿宋_GB2312"/>
          <w:sz w:val="32"/>
          <w:szCs w:val="32"/>
          <w:lang w:val="en-US" w:eastAsia="zh-CN"/>
        </w:rPr>
        <w:t>117.59</w:t>
      </w:r>
      <w:r>
        <w:rPr>
          <w:rFonts w:hint="eastAsia" w:eastAsia="仿宋_GB2312" w:cs="仿宋_GB2312"/>
          <w:sz w:val="32"/>
          <w:szCs w:val="32"/>
        </w:rPr>
        <w:t>万元，占</w:t>
      </w:r>
      <w:r>
        <w:rPr>
          <w:rFonts w:hint="eastAsia" w:eastAsia="仿宋_GB2312" w:cs="仿宋_GB2312"/>
          <w:sz w:val="32"/>
          <w:szCs w:val="32"/>
          <w:lang w:val="en-US" w:eastAsia="zh-CN"/>
        </w:rPr>
        <w:t>3.13</w:t>
      </w:r>
      <w:r>
        <w:rPr>
          <w:rFonts w:hint="eastAsia" w:eastAsia="仿宋_GB2312" w:cs="仿宋_GB2312"/>
          <w:sz w:val="32"/>
          <w:szCs w:val="32"/>
        </w:rPr>
        <w:t>%；住房保障支出</w:t>
      </w:r>
      <w:r>
        <w:rPr>
          <w:rFonts w:hint="eastAsia" w:eastAsia="仿宋_GB2312" w:cs="仿宋_GB2312"/>
          <w:sz w:val="32"/>
          <w:szCs w:val="32"/>
          <w:lang w:val="en-US" w:eastAsia="zh-CN"/>
        </w:rPr>
        <w:t>156.42</w:t>
      </w:r>
      <w:r>
        <w:rPr>
          <w:rFonts w:hint="eastAsia" w:eastAsia="仿宋_GB2312" w:cs="仿宋_GB2312"/>
          <w:sz w:val="32"/>
          <w:szCs w:val="32"/>
        </w:rPr>
        <w:t>万元，占</w:t>
      </w:r>
      <w:r>
        <w:rPr>
          <w:rFonts w:hint="eastAsia" w:eastAsia="仿宋_GB2312" w:cs="仿宋_GB2312"/>
          <w:sz w:val="32"/>
          <w:szCs w:val="32"/>
          <w:lang w:val="en-US" w:eastAsia="zh-CN"/>
        </w:rPr>
        <w:t>4.17</w:t>
      </w:r>
      <w:r>
        <w:rPr>
          <w:rFonts w:hint="eastAsia" w:eastAsia="仿宋_GB2312" w:cs="仿宋_GB2312"/>
          <w:sz w:val="32"/>
          <w:szCs w:val="32"/>
        </w:rPr>
        <w:t>%</w:t>
      </w:r>
      <w:r>
        <w:rPr>
          <w:rFonts w:hint="eastAsia" w:eastAsia="仿宋_GB2312" w:cs="仿宋_GB2312"/>
          <w:sz w:val="32"/>
          <w:szCs w:val="32"/>
          <w:lang w:eastAsia="zh-CN"/>
        </w:rPr>
        <w:t>。</w:t>
      </w:r>
    </w:p>
    <w:p w14:paraId="43351BB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仿宋_GB2312" w:cs="仿宋_GB2312"/>
          <w:sz w:val="32"/>
          <w:szCs w:val="32"/>
          <w:highlight w:val="none"/>
          <w:lang w:eastAsia="zh-CN"/>
        </w:rPr>
      </w:pPr>
      <w:r>
        <w:rPr>
          <w:rFonts w:hint="eastAsia" w:eastAsia="仿宋_GB2312" w:cs="仿宋_GB2312"/>
          <w:sz w:val="32"/>
          <w:szCs w:val="32"/>
          <w:highlight w:val="none"/>
          <w:lang w:eastAsia="zh-CN"/>
        </w:rPr>
        <w:drawing>
          <wp:inline distT="0" distB="0" distL="114300" distR="114300">
            <wp:extent cx="5396865" cy="2797175"/>
            <wp:effectExtent l="4445" t="4445" r="8890" b="1778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5CAC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仿宋_GB2312" w:cs="仿宋_GB2312"/>
          <w:sz w:val="32"/>
          <w:szCs w:val="32"/>
          <w:highlight w:val="none"/>
        </w:rPr>
      </w:pPr>
      <w:r>
        <w:rPr>
          <w:rFonts w:hint="eastAsia" w:eastAsia="仿宋_GB2312" w:cs="仿宋_GB2312"/>
          <w:sz w:val="32"/>
          <w:szCs w:val="32"/>
          <w:highlight w:val="none"/>
        </w:rPr>
        <w:t>（图6：一般公共预算财政拨款支出决算结构）</w:t>
      </w:r>
    </w:p>
    <w:p w14:paraId="5C2E07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33" w:name="_Toc15377212"/>
      <w:r>
        <w:rPr>
          <w:rFonts w:hint="eastAsia" w:eastAsia="楷体_GB2312" w:cs="楷体_GB2312"/>
          <w:b/>
          <w:sz w:val="32"/>
          <w:szCs w:val="32"/>
        </w:rPr>
        <w:t>（三）一般公共预算财政拨款支出决算具体情况</w:t>
      </w:r>
      <w:bookmarkEnd w:id="33"/>
    </w:p>
    <w:p w14:paraId="079B071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bookmarkStart w:id="34" w:name="_Toc15377213"/>
      <w:bookmarkStart w:id="35" w:name="_Toc15378460"/>
      <w:bookmarkStart w:id="36"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eastAsia="仿宋_GB2312" w:cs="仿宋_GB2312"/>
          <w:sz w:val="32"/>
          <w:szCs w:val="32"/>
          <w:lang w:val="en-US" w:eastAsia="zh-CN"/>
        </w:rPr>
        <w:t>3751.5万元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4"/>
      <w:bookmarkEnd w:id="35"/>
      <w:bookmarkEnd w:id="36"/>
    </w:p>
    <w:p w14:paraId="6709663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rPr>
        <w:t>1.公共安全（204）检察（04）行政运行（01）: 支出决算为</w:t>
      </w:r>
      <w:r>
        <w:rPr>
          <w:rFonts w:hint="eastAsia" w:eastAsia="仿宋_GB2312" w:cs="仿宋_GB2312"/>
          <w:sz w:val="32"/>
          <w:szCs w:val="32"/>
          <w:lang w:val="en-US" w:eastAsia="zh-CN"/>
        </w:rPr>
        <w:t>2061.45</w:t>
      </w:r>
      <w:r>
        <w:rPr>
          <w:rFonts w:hint="eastAsia" w:eastAsia="仿宋_GB2312" w:cs="仿宋_GB2312"/>
          <w:sz w:val="32"/>
          <w:szCs w:val="32"/>
        </w:rPr>
        <w:t>万元，完成预算100%。</w:t>
      </w:r>
    </w:p>
    <w:p w14:paraId="3DD8593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bookmarkStart w:id="37" w:name="OLE_LINK4"/>
      <w:r>
        <w:rPr>
          <w:rFonts w:hint="eastAsia" w:eastAsia="仿宋_GB2312" w:cs="仿宋_GB2312"/>
          <w:sz w:val="32"/>
          <w:szCs w:val="32"/>
        </w:rPr>
        <w:t>2.公共安全（204）检察（04）一般行政事务管理（02）:支出决算为</w:t>
      </w:r>
      <w:r>
        <w:rPr>
          <w:rFonts w:hint="eastAsia" w:eastAsia="仿宋_GB2312" w:cs="仿宋_GB2312"/>
          <w:sz w:val="32"/>
          <w:szCs w:val="32"/>
          <w:lang w:val="en-US" w:eastAsia="zh-CN"/>
        </w:rPr>
        <w:t>1185.17</w:t>
      </w:r>
      <w:r>
        <w:rPr>
          <w:rFonts w:hint="eastAsia" w:eastAsia="仿宋_GB2312" w:cs="仿宋_GB2312"/>
          <w:sz w:val="32"/>
          <w:szCs w:val="32"/>
        </w:rPr>
        <w:t>万元，完成预算100%。</w:t>
      </w:r>
      <w:bookmarkEnd w:id="37"/>
    </w:p>
    <w:p w14:paraId="637ABCE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3</w:t>
      </w:r>
      <w:r>
        <w:rPr>
          <w:rFonts w:hint="eastAsia" w:eastAsia="仿宋_GB2312" w:cs="仿宋_GB2312"/>
          <w:sz w:val="32"/>
          <w:szCs w:val="32"/>
        </w:rPr>
        <w:t>.社会保障和就业（208）行政事业单位</w:t>
      </w:r>
      <w:r>
        <w:rPr>
          <w:rFonts w:hint="eastAsia" w:eastAsia="仿宋_GB2312" w:cs="仿宋_GB2312"/>
          <w:sz w:val="32"/>
          <w:szCs w:val="32"/>
          <w:lang w:val="en-US" w:eastAsia="zh-CN"/>
        </w:rPr>
        <w:t>养老支出</w:t>
      </w:r>
      <w:r>
        <w:rPr>
          <w:rFonts w:hint="eastAsia" w:eastAsia="仿宋_GB2312" w:cs="仿宋_GB2312"/>
          <w:sz w:val="32"/>
          <w:szCs w:val="32"/>
        </w:rPr>
        <w:t>（05）  机关事业单位基本养老保险缴费支出（05）: 支出决算为</w:t>
      </w:r>
      <w:r>
        <w:rPr>
          <w:rFonts w:hint="eastAsia" w:eastAsia="仿宋_GB2312" w:cs="仿宋_GB2312"/>
          <w:sz w:val="32"/>
          <w:szCs w:val="32"/>
          <w:lang w:val="en-US" w:eastAsia="zh-CN"/>
        </w:rPr>
        <w:t>158.32</w:t>
      </w:r>
      <w:r>
        <w:rPr>
          <w:rFonts w:hint="eastAsia" w:eastAsia="仿宋_GB2312" w:cs="仿宋_GB2312"/>
          <w:sz w:val="32"/>
          <w:szCs w:val="32"/>
        </w:rPr>
        <w:t>万元，完成预算100%。</w:t>
      </w:r>
    </w:p>
    <w:p w14:paraId="4090270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 社会保障和就业（208）行政事业单位</w:t>
      </w:r>
      <w:r>
        <w:rPr>
          <w:rFonts w:hint="eastAsia" w:eastAsia="仿宋_GB2312" w:cs="仿宋_GB2312"/>
          <w:sz w:val="32"/>
          <w:szCs w:val="32"/>
          <w:lang w:val="en-US" w:eastAsia="zh-CN"/>
        </w:rPr>
        <w:t>养老支出</w:t>
      </w:r>
      <w:r>
        <w:rPr>
          <w:rFonts w:hint="eastAsia" w:eastAsia="仿宋_GB2312" w:cs="仿宋_GB2312"/>
          <w:sz w:val="32"/>
          <w:szCs w:val="32"/>
        </w:rPr>
        <w:t>（05）    机关事业单位职业年金缴费支出（06）: 支出决算为</w:t>
      </w:r>
      <w:r>
        <w:rPr>
          <w:rFonts w:hint="eastAsia" w:eastAsia="仿宋_GB2312" w:cs="仿宋_GB2312"/>
          <w:sz w:val="32"/>
          <w:szCs w:val="32"/>
          <w:lang w:val="en-US" w:eastAsia="zh-CN"/>
        </w:rPr>
        <w:t>72.54</w:t>
      </w:r>
      <w:r>
        <w:rPr>
          <w:rFonts w:hint="eastAsia" w:eastAsia="仿宋_GB2312" w:cs="仿宋_GB2312"/>
          <w:sz w:val="32"/>
          <w:szCs w:val="32"/>
        </w:rPr>
        <w:t>万元，完成预算100%。</w:t>
      </w:r>
    </w:p>
    <w:p w14:paraId="24058C8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 xml:space="preserve">. </w:t>
      </w:r>
      <w:r>
        <w:rPr>
          <w:rFonts w:hint="eastAsia" w:eastAsia="仿宋_GB2312" w:cs="仿宋_GB2312"/>
          <w:sz w:val="32"/>
          <w:szCs w:val="32"/>
          <w:lang w:val="en-US" w:eastAsia="zh-CN"/>
        </w:rPr>
        <w:t>卫生健康支出</w:t>
      </w:r>
      <w:r>
        <w:rPr>
          <w:rFonts w:hint="eastAsia" w:eastAsia="仿宋_GB2312" w:cs="仿宋_GB2312"/>
          <w:sz w:val="32"/>
          <w:szCs w:val="32"/>
        </w:rPr>
        <w:t>（210）行政单位医疗（11）行政单位医疗（01）:支出决算</w:t>
      </w:r>
      <w:r>
        <w:rPr>
          <w:rFonts w:hint="eastAsia" w:eastAsia="仿宋_GB2312" w:cs="仿宋_GB2312"/>
          <w:sz w:val="32"/>
          <w:szCs w:val="32"/>
          <w:lang w:val="en-US" w:eastAsia="zh-CN"/>
        </w:rPr>
        <w:t>98.08</w:t>
      </w:r>
      <w:r>
        <w:rPr>
          <w:rFonts w:hint="eastAsia" w:eastAsia="仿宋_GB2312" w:cs="仿宋_GB2312"/>
          <w:sz w:val="32"/>
          <w:szCs w:val="32"/>
        </w:rPr>
        <w:t>万元，完成预算100%。</w:t>
      </w:r>
    </w:p>
    <w:p w14:paraId="0948F22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w:t>
      </w:r>
      <w:r>
        <w:rPr>
          <w:rFonts w:hint="eastAsia" w:eastAsia="仿宋_GB2312" w:cs="仿宋_GB2312"/>
          <w:sz w:val="32"/>
          <w:szCs w:val="32"/>
          <w:lang w:val="en-US" w:eastAsia="zh-CN"/>
        </w:rPr>
        <w:t>卫生健康支出</w:t>
      </w:r>
      <w:r>
        <w:rPr>
          <w:rFonts w:hint="eastAsia" w:eastAsia="仿宋_GB2312" w:cs="仿宋_GB2312"/>
          <w:sz w:val="32"/>
          <w:szCs w:val="32"/>
        </w:rPr>
        <w:t>（210）行政单位医疗（11）公务员医疗补助（03）:支出决算为</w:t>
      </w:r>
      <w:r>
        <w:rPr>
          <w:rFonts w:hint="eastAsia" w:eastAsia="仿宋_GB2312" w:cs="仿宋_GB2312"/>
          <w:sz w:val="32"/>
          <w:szCs w:val="32"/>
          <w:lang w:val="en-US" w:eastAsia="zh-CN"/>
        </w:rPr>
        <w:t>19.52</w:t>
      </w:r>
      <w:r>
        <w:rPr>
          <w:rFonts w:hint="eastAsia" w:eastAsia="仿宋_GB2312" w:cs="仿宋_GB2312"/>
          <w:sz w:val="32"/>
          <w:szCs w:val="32"/>
        </w:rPr>
        <w:t>万元，完成预算100%。</w:t>
      </w:r>
    </w:p>
    <w:p w14:paraId="446DDD6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.住房保障支出（221）住房改革支出（02）住房公积金（01）:支出决算为</w:t>
      </w:r>
      <w:r>
        <w:rPr>
          <w:rFonts w:hint="eastAsia" w:eastAsia="仿宋_GB2312" w:cs="仿宋_GB2312"/>
          <w:sz w:val="32"/>
          <w:szCs w:val="32"/>
          <w:lang w:val="en-US" w:eastAsia="zh-CN"/>
        </w:rPr>
        <w:t>155.22</w:t>
      </w:r>
      <w:r>
        <w:rPr>
          <w:rFonts w:hint="eastAsia" w:eastAsia="仿宋_GB2312" w:cs="仿宋_GB2312"/>
          <w:sz w:val="32"/>
          <w:szCs w:val="32"/>
        </w:rPr>
        <w:t>万元，完成预算100%。</w:t>
      </w:r>
    </w:p>
    <w:p w14:paraId="316E118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lang w:val="en-US" w:eastAsia="zh-CN"/>
        </w:rPr>
        <w:t>8.</w:t>
      </w:r>
      <w:r>
        <w:rPr>
          <w:rFonts w:hint="eastAsia" w:eastAsia="仿宋_GB2312" w:cs="仿宋_GB2312"/>
          <w:sz w:val="32"/>
          <w:szCs w:val="32"/>
        </w:rPr>
        <w:t>住房保障支出（221）住房改革支出（02）购房补贴（0</w:t>
      </w:r>
      <w:r>
        <w:rPr>
          <w:rFonts w:hint="eastAsia" w:eastAsia="仿宋_GB2312" w:cs="仿宋_GB2312"/>
          <w:sz w:val="32"/>
          <w:szCs w:val="32"/>
          <w:lang w:val="en-US" w:eastAsia="zh-CN"/>
        </w:rPr>
        <w:t>3</w:t>
      </w:r>
      <w:r>
        <w:rPr>
          <w:rFonts w:hint="eastAsia" w:eastAsia="仿宋_GB2312" w:cs="仿宋_GB2312"/>
          <w:sz w:val="32"/>
          <w:szCs w:val="32"/>
        </w:rPr>
        <w:t>）:支出决算为</w:t>
      </w:r>
      <w:r>
        <w:rPr>
          <w:rFonts w:hint="eastAsia" w:eastAsia="仿宋_GB2312" w:cs="仿宋_GB2312"/>
          <w:sz w:val="32"/>
          <w:szCs w:val="32"/>
          <w:lang w:val="en-US" w:eastAsia="zh-CN"/>
        </w:rPr>
        <w:t>1.2</w:t>
      </w:r>
      <w:r>
        <w:rPr>
          <w:rFonts w:hint="eastAsia" w:eastAsia="仿宋_GB2312" w:cs="仿宋_GB2312"/>
          <w:sz w:val="32"/>
          <w:szCs w:val="32"/>
        </w:rPr>
        <w:t>万元，完成预算100%。</w:t>
      </w:r>
    </w:p>
    <w:p w14:paraId="420F952F">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rPr>
      </w:pPr>
      <w:bookmarkStart w:id="38" w:name="_Toc15396608"/>
      <w:bookmarkStart w:id="39" w:name="_Toc15377214"/>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38"/>
      <w:bookmarkEnd w:id="39"/>
      <w:r>
        <w:rPr>
          <w:rStyle w:val="30"/>
          <w:rFonts w:ascii="Times New Roman" w:hAnsi="Times New Roman" w:eastAsia="黑体"/>
          <w:b w:val="0"/>
        </w:rPr>
        <w:tab/>
      </w:r>
    </w:p>
    <w:p w14:paraId="22BB6BC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2566.33</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5C5DB39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2363.44</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元，主要包括：基本工资、津贴补贴、奖金、伙食补助费、机关事业单位基本养老保险缴费、职业年金缴费、</w:t>
      </w:r>
      <w:r>
        <w:rPr>
          <w:rFonts w:hint="eastAsia" w:eastAsia="仿宋_GB2312" w:cs="仿宋_GB2312"/>
          <w:sz w:val="32"/>
          <w:szCs w:val="32"/>
          <w:lang w:val="en-US" w:eastAsia="zh-CN"/>
        </w:rPr>
        <w:t>职工基本医疗保险缴费、公务员医疗补助缴费、</w:t>
      </w:r>
      <w:r>
        <w:rPr>
          <w:rFonts w:hint="eastAsia" w:eastAsia="仿宋_GB2312" w:cs="仿宋_GB2312"/>
          <w:sz w:val="32"/>
          <w:szCs w:val="32"/>
        </w:rPr>
        <w:t>其他社会保障缴费、其他工资福利支出、离休费、抚恤金、生活补助、奖励金、住房公积金等。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202.89</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eastAsia="zh-CN"/>
        </w:rPr>
        <w:t>印刷费、</w:t>
      </w:r>
      <w:r>
        <w:rPr>
          <w:rFonts w:hint="eastAsia" w:eastAsia="仿宋_GB2312" w:cs="仿宋_GB2312"/>
          <w:sz w:val="32"/>
          <w:szCs w:val="32"/>
        </w:rPr>
        <w:t>水费、电费、邮电费、物业管理费、差旅费、维修（护）费、培训费、公务接待费、</w:t>
      </w:r>
      <w:r>
        <w:rPr>
          <w:rFonts w:hint="eastAsia" w:eastAsia="仿宋_GB2312" w:cs="仿宋_GB2312"/>
          <w:sz w:val="32"/>
          <w:szCs w:val="32"/>
          <w:lang w:eastAsia="zh-CN"/>
        </w:rPr>
        <w:t>专用燃料费、</w:t>
      </w:r>
      <w:r>
        <w:rPr>
          <w:rFonts w:hint="eastAsia" w:eastAsia="仿宋_GB2312" w:cs="仿宋_GB2312"/>
          <w:sz w:val="32"/>
          <w:szCs w:val="32"/>
        </w:rPr>
        <w:t>劳务费、</w:t>
      </w:r>
      <w:r>
        <w:rPr>
          <w:rFonts w:hint="eastAsia" w:eastAsia="仿宋_GB2312" w:cs="仿宋_GB2312"/>
          <w:sz w:val="32"/>
          <w:szCs w:val="32"/>
          <w:lang w:eastAsia="zh-CN"/>
        </w:rPr>
        <w:t>工会经费、</w:t>
      </w:r>
      <w:r>
        <w:rPr>
          <w:rFonts w:hint="eastAsia" w:eastAsia="仿宋_GB2312" w:cs="仿宋_GB2312"/>
          <w:sz w:val="32"/>
          <w:szCs w:val="32"/>
        </w:rPr>
        <w:t>福利费、公务用车运行维护费</w:t>
      </w:r>
      <w:r>
        <w:rPr>
          <w:rFonts w:hint="eastAsia" w:eastAsia="仿宋_GB2312" w:cs="仿宋_GB2312"/>
          <w:sz w:val="32"/>
          <w:szCs w:val="32"/>
          <w:lang w:eastAsia="zh-CN"/>
        </w:rPr>
        <w:t>、其他商品和服务支出、办公设备购置</w:t>
      </w:r>
      <w:r>
        <w:rPr>
          <w:rFonts w:hint="eastAsia" w:eastAsia="仿宋_GB2312" w:cs="仿宋_GB2312"/>
          <w:sz w:val="32"/>
          <w:szCs w:val="32"/>
        </w:rPr>
        <w:t>等。</w:t>
      </w:r>
    </w:p>
    <w:p w14:paraId="588BA88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eastAsia="黑体"/>
          <w:b w:val="0"/>
        </w:rPr>
      </w:pPr>
      <w:bookmarkStart w:id="40" w:name="_Toc15377215"/>
      <w:bookmarkStart w:id="41" w:name="_Toc15396609"/>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40"/>
      <w:bookmarkEnd w:id="41"/>
    </w:p>
    <w:p w14:paraId="5B62A42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42" w:name="_Toc15377216"/>
      <w:r>
        <w:rPr>
          <w:rFonts w:hint="eastAsia" w:eastAsia="楷体_GB2312" w:cs="楷体_GB2312"/>
          <w:b/>
          <w:sz w:val="32"/>
          <w:szCs w:val="32"/>
        </w:rPr>
        <w:t>（一）财政拨款“三公”经费支出决算总体情况说明</w:t>
      </w:r>
      <w:bookmarkEnd w:id="42"/>
    </w:p>
    <w:p w14:paraId="36BFB8E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仿宋_GB2312"/>
          <w:sz w:val="32"/>
          <w:szCs w:val="32"/>
          <w:lang w:val="en-US" w:eastAsia="zh-CN"/>
        </w:rPr>
      </w:pPr>
      <w:bookmarkStart w:id="43" w:name="_Toc15377217"/>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eastAsia="仿宋_GB2312" w:cs="仿宋_GB2312"/>
          <w:sz w:val="32"/>
          <w:szCs w:val="32"/>
          <w:lang w:val="en-US" w:eastAsia="zh-CN"/>
        </w:rPr>
        <w:t>247.36</w:t>
      </w:r>
      <w:r>
        <w:rPr>
          <w:rFonts w:hint="eastAsia" w:ascii="仿宋_GB2312" w:hAnsi="仿宋_GB2312" w:eastAsia="仿宋_GB2312" w:cs="仿宋_GB2312"/>
          <w:sz w:val="32"/>
          <w:szCs w:val="32"/>
        </w:rPr>
        <w:t>万元，完成预算</w:t>
      </w:r>
      <w:r>
        <w:rPr>
          <w:rFonts w:hint="eastAsia" w:eastAsia="仿宋_GB2312" w:cs="仿宋_GB2312"/>
          <w:sz w:val="32"/>
          <w:szCs w:val="32"/>
        </w:rPr>
        <w:t>100</w:t>
      </w:r>
      <w:r>
        <w:rPr>
          <w:rFonts w:hint="eastAsia" w:ascii="仿宋_GB2312" w:hAnsi="仿宋_GB2312" w:eastAsia="仿宋_GB2312" w:cs="仿宋_GB2312"/>
          <w:sz w:val="32"/>
          <w:szCs w:val="32"/>
        </w:rPr>
        <w:t>%，</w:t>
      </w:r>
      <w:r>
        <w:rPr>
          <w:rFonts w:hint="eastAsia" w:eastAsia="仿宋_GB2312" w:cs="仿宋_GB2312"/>
          <w:sz w:val="32"/>
          <w:szCs w:val="32"/>
        </w:rPr>
        <w:t>较上年度增加</w:t>
      </w:r>
      <w:r>
        <w:rPr>
          <w:rFonts w:hint="eastAsia" w:eastAsia="仿宋_GB2312" w:cs="仿宋_GB2312"/>
          <w:sz w:val="32"/>
          <w:szCs w:val="32"/>
          <w:lang w:val="en-US" w:eastAsia="zh-CN"/>
        </w:rPr>
        <w:t>18.25</w:t>
      </w:r>
      <w:r>
        <w:rPr>
          <w:rFonts w:hint="eastAsia" w:eastAsia="仿宋_GB2312" w:cs="仿宋_GB2312"/>
          <w:sz w:val="32"/>
          <w:szCs w:val="32"/>
        </w:rPr>
        <w:t>万元，增长</w:t>
      </w:r>
      <w:r>
        <w:rPr>
          <w:rFonts w:hint="eastAsia" w:eastAsia="仿宋_GB2312" w:cs="仿宋_GB2312"/>
          <w:sz w:val="32"/>
          <w:szCs w:val="32"/>
          <w:lang w:val="en-US" w:eastAsia="zh-CN"/>
        </w:rPr>
        <w:t>7.97</w:t>
      </w:r>
      <w:r>
        <w:rPr>
          <w:rFonts w:hint="eastAsia" w:eastAsia="仿宋_GB2312" w:cs="仿宋_GB2312"/>
          <w:sz w:val="32"/>
          <w:szCs w:val="32"/>
        </w:rPr>
        <w:t>%。主要原因是</w:t>
      </w:r>
      <w:r>
        <w:rPr>
          <w:rFonts w:hint="eastAsia" w:eastAsia="仿宋_GB2312" w:cs="仿宋_GB2312"/>
          <w:sz w:val="32"/>
          <w:szCs w:val="32"/>
          <w:lang w:val="en-US" w:eastAsia="zh-CN"/>
        </w:rPr>
        <w:t>2025年我院</w:t>
      </w:r>
      <w:r>
        <w:rPr>
          <w:rFonts w:hint="eastAsia" w:ascii="Times New Roman" w:hAnsi="Times New Roman" w:eastAsia="仿宋_GB2312" w:cs="仿宋_GB2312"/>
          <w:sz w:val="32"/>
          <w:szCs w:val="32"/>
          <w:lang w:val="en-US" w:eastAsia="zh-CN"/>
        </w:rPr>
        <w:t>车辆使用年限久，设备老化，维修支出逐年增加。</w:t>
      </w:r>
    </w:p>
    <w:p w14:paraId="4ADE1E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r>
        <w:rPr>
          <w:rFonts w:hint="eastAsia" w:eastAsia="楷体_GB2312" w:cs="楷体_GB2312"/>
          <w:b/>
          <w:sz w:val="32"/>
          <w:szCs w:val="32"/>
        </w:rPr>
        <w:t>（二）财政拨款“三公”经费支出决算具体情况说明</w:t>
      </w:r>
      <w:bookmarkEnd w:id="43"/>
    </w:p>
    <w:p w14:paraId="63EB9EF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highlight w:val="none"/>
        </w:rPr>
      </w:pPr>
      <w:r>
        <w:rPr>
          <w:rFonts w:hint="eastAsia" w:eastAsia="仿宋_GB2312" w:cs="仿宋_GB2312"/>
          <w:sz w:val="32"/>
          <w:szCs w:val="32"/>
          <w:lang w:val="en-US" w:eastAsia="zh-CN"/>
        </w:rPr>
        <w:t>2025</w:t>
      </w:r>
      <w:r>
        <w:rPr>
          <w:rFonts w:hint="eastAsia" w:ascii="仿宋_GB2312" w:hAnsi="仿宋_GB2312" w:eastAsia="仿宋_GB2312" w:cs="仿宋_GB2312"/>
          <w:sz w:val="32"/>
          <w:szCs w:val="32"/>
        </w:rPr>
        <w:t>年度“三公”经费财政拨款支出决算中，公务用车购置及运行维护费支出决算</w:t>
      </w:r>
      <w:r>
        <w:rPr>
          <w:rFonts w:hint="eastAsia" w:eastAsia="仿宋_GB2312" w:cs="仿宋_GB2312"/>
          <w:sz w:val="32"/>
          <w:szCs w:val="32"/>
          <w:lang w:val="en-US" w:eastAsia="zh-CN"/>
        </w:rPr>
        <w:t>246.63</w:t>
      </w:r>
      <w:r>
        <w:rPr>
          <w:rFonts w:hint="eastAsia" w:ascii="仿宋_GB2312" w:hAnsi="仿宋_GB2312" w:eastAsia="仿宋_GB2312" w:cs="仿宋_GB2312"/>
          <w:sz w:val="32"/>
          <w:szCs w:val="32"/>
        </w:rPr>
        <w:t>万元，占</w:t>
      </w:r>
      <w:r>
        <w:rPr>
          <w:rFonts w:hint="eastAsia" w:eastAsia="仿宋_GB2312" w:cs="仿宋_GB2312"/>
          <w:sz w:val="32"/>
          <w:szCs w:val="32"/>
          <w:lang w:val="en-US" w:eastAsia="zh-CN"/>
        </w:rPr>
        <w:t>99.7</w:t>
      </w:r>
      <w:r>
        <w:rPr>
          <w:rFonts w:hint="eastAsia" w:ascii="仿宋_GB2312" w:hAnsi="仿宋_GB2312" w:eastAsia="仿宋_GB2312" w:cs="仿宋_GB2312"/>
          <w:sz w:val="32"/>
          <w:szCs w:val="32"/>
        </w:rPr>
        <w:t>%；公务接待费支出决算</w:t>
      </w:r>
      <w:r>
        <w:rPr>
          <w:rFonts w:hint="eastAsia" w:eastAsia="仿宋_GB2312" w:cs="仿宋_GB2312"/>
          <w:sz w:val="32"/>
          <w:szCs w:val="32"/>
          <w:lang w:val="en-US" w:eastAsia="zh-CN"/>
        </w:rPr>
        <w:t>0.74</w:t>
      </w:r>
      <w:r>
        <w:rPr>
          <w:rFonts w:hint="eastAsia" w:ascii="仿宋_GB2312" w:hAnsi="仿宋_GB2312" w:eastAsia="仿宋_GB2312" w:cs="仿宋_GB2312"/>
          <w:sz w:val="32"/>
          <w:szCs w:val="32"/>
        </w:rPr>
        <w:t>万元，占</w:t>
      </w:r>
      <w:r>
        <w:rPr>
          <w:rFonts w:hint="eastAsia" w:eastAsia="仿宋_GB2312" w:cs="仿宋_GB2312"/>
          <w:sz w:val="32"/>
          <w:szCs w:val="32"/>
          <w:lang w:val="en-US" w:eastAsia="zh-CN"/>
        </w:rPr>
        <w:t>0.3</w:t>
      </w:r>
      <w:r>
        <w:rPr>
          <w:rFonts w:hint="eastAsia" w:ascii="仿宋_GB2312" w:hAnsi="仿宋_GB2312" w:eastAsia="仿宋_GB2312" w:cs="仿宋_GB2312"/>
          <w:sz w:val="32"/>
          <w:szCs w:val="32"/>
        </w:rPr>
        <w:t>%。具体情况如下：</w:t>
      </w:r>
    </w:p>
    <w:p w14:paraId="452B90C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仿宋_GB2312" w:cs="仿宋_GB2312"/>
          <w:sz w:val="32"/>
          <w:szCs w:val="32"/>
          <w:highlight w:val="none"/>
        </w:rPr>
      </w:pPr>
      <w:r>
        <w:rPr>
          <w:rFonts w:hint="eastAsia" w:eastAsia="仿宋_GB2312" w:cs="仿宋_GB2312"/>
          <w:sz w:val="32"/>
          <w:szCs w:val="32"/>
          <w:highlight w:val="none"/>
          <w:lang w:eastAsia="zh-CN"/>
        </w:rPr>
        <w:drawing>
          <wp:inline distT="0" distB="0" distL="114300" distR="114300">
            <wp:extent cx="5274310" cy="2483485"/>
            <wp:effectExtent l="4445" t="4445" r="17145" b="762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9990A6">
      <w:pPr>
        <w:keepNext w:val="0"/>
        <w:keepLines w:val="0"/>
        <w:pageBreakBefore w:val="0"/>
        <w:kinsoku/>
        <w:wordWrap/>
        <w:overflowPunct/>
        <w:topLinePunct w:val="0"/>
        <w:autoSpaceDE/>
        <w:autoSpaceDN/>
        <w:bidi w:val="0"/>
        <w:adjustRightInd/>
        <w:snapToGrid/>
        <w:spacing w:line="560" w:lineRule="exact"/>
        <w:jc w:val="center"/>
        <w:textAlignment w:val="auto"/>
        <w:rPr>
          <w:rFonts w:eastAsia="仿宋_GB2312" w:cs="仿宋_GB2312"/>
          <w:sz w:val="32"/>
          <w:szCs w:val="32"/>
          <w:highlight w:val="yellow"/>
        </w:rPr>
      </w:pPr>
      <w:r>
        <w:rPr>
          <w:rFonts w:hint="eastAsia" w:eastAsia="仿宋_GB2312" w:cs="仿宋_GB2312"/>
          <w:sz w:val="32"/>
          <w:szCs w:val="32"/>
          <w:highlight w:val="none"/>
        </w:rPr>
        <w:t>（图7：财政拨款“三公”经费支出结构）</w:t>
      </w:r>
    </w:p>
    <w:p w14:paraId="49C53010">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lang w:val="en-US" w:eastAsia="zh-CN"/>
        </w:rPr>
      </w:pPr>
      <w:bookmarkStart w:id="44" w:name="_Toc15377218"/>
      <w:bookmarkStart w:id="45" w:name="_Toc15396610"/>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w:t>
      </w:r>
      <w:r>
        <w:rPr>
          <w:rFonts w:hint="eastAsia" w:eastAsia="仿宋_GB2312" w:cs="仿宋_GB2312"/>
          <w:sz w:val="32"/>
          <w:szCs w:val="32"/>
          <w:lang w:val="en-US" w:eastAsia="zh-CN"/>
        </w:rPr>
        <w:t>与2024年无变化。</w:t>
      </w:r>
    </w:p>
    <w:p w14:paraId="3B629F84">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Times New Roman" w:hAnsi="Times New Roman" w:eastAsia="仿宋_GB2312" w:cs="Times New Roman"/>
          <w:b/>
          <w:bCs/>
          <w:sz w:val="32"/>
          <w:szCs w:val="32"/>
          <w:lang w:val="en-US" w:eastAsia="zh-CN"/>
        </w:rPr>
        <w:t>246.63</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年度增加</w:t>
      </w:r>
      <w:r>
        <w:rPr>
          <w:rFonts w:hint="eastAsia" w:eastAsia="仿宋_GB2312" w:cs="仿宋_GB2312"/>
          <w:sz w:val="32"/>
          <w:szCs w:val="32"/>
          <w:lang w:val="en-US" w:eastAsia="zh-CN"/>
        </w:rPr>
        <w:t>18.35</w:t>
      </w:r>
      <w:r>
        <w:rPr>
          <w:rFonts w:hint="eastAsia" w:eastAsia="仿宋_GB2312" w:cs="仿宋_GB2312"/>
          <w:sz w:val="32"/>
          <w:szCs w:val="32"/>
        </w:rPr>
        <w:t>万元，增长</w:t>
      </w:r>
      <w:r>
        <w:rPr>
          <w:rFonts w:hint="eastAsia" w:eastAsia="仿宋_GB2312" w:cs="仿宋_GB2312"/>
          <w:sz w:val="32"/>
          <w:szCs w:val="32"/>
          <w:lang w:val="en-US" w:eastAsia="zh-CN"/>
        </w:rPr>
        <w:t>8.04</w:t>
      </w:r>
      <w:r>
        <w:rPr>
          <w:rFonts w:hint="eastAsia" w:eastAsia="仿宋_GB2312" w:cs="仿宋_GB2312"/>
          <w:sz w:val="32"/>
          <w:szCs w:val="32"/>
        </w:rPr>
        <w:t>%。</w:t>
      </w:r>
      <w:r>
        <w:rPr>
          <w:rFonts w:hint="eastAsia" w:eastAsia="仿宋_GB2312" w:cs="仿宋_GB2312"/>
          <w:sz w:val="32"/>
          <w:szCs w:val="32"/>
          <w:lang w:val="en-US" w:eastAsia="zh-CN"/>
        </w:rPr>
        <w:t>主要原因为2025年我院</w:t>
      </w:r>
      <w:r>
        <w:rPr>
          <w:rFonts w:hint="eastAsia" w:ascii="Times New Roman" w:hAnsi="Times New Roman" w:eastAsia="仿宋_GB2312" w:cs="仿宋_GB2312"/>
          <w:sz w:val="32"/>
          <w:szCs w:val="32"/>
          <w:lang w:val="en-US" w:eastAsia="zh-CN"/>
        </w:rPr>
        <w:t>车辆使用年限久，设备老化，维修支出逐年增加。</w:t>
      </w:r>
    </w:p>
    <w:p w14:paraId="1F111BE8">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eastAsia="仿宋_GB2312"/>
          <w:b/>
          <w:sz w:val="32"/>
          <w:szCs w:val="32"/>
          <w:highlight w:val="none"/>
          <w:lang w:val="en-US" w:eastAsia="zh-CN"/>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Times New Roman" w:hAnsi="Times New Roman" w:eastAsia="仿宋_GB2312" w:cs="Times New Roman"/>
          <w:sz w:val="32"/>
          <w:szCs w:val="32"/>
          <w:lang w:val="en-US" w:eastAsia="zh-CN"/>
        </w:rPr>
        <w:t>83.7</w:t>
      </w:r>
      <w:r>
        <w:rPr>
          <w:rFonts w:hint="eastAsia" w:eastAsia="仿宋_GB2312" w:cs="仿宋_GB2312"/>
          <w:sz w:val="32"/>
          <w:szCs w:val="32"/>
        </w:rPr>
        <w:t>万元。</w:t>
      </w:r>
      <w:r>
        <w:rPr>
          <w:rFonts w:hint="eastAsia" w:ascii="仿宋_GB2312" w:hAnsi="Times New Roman" w:eastAsia="仿宋_GB2312" w:cs="Times New Roman"/>
          <w:color w:val="000000"/>
          <w:sz w:val="32"/>
          <w:szCs w:val="32"/>
          <w:highlight w:val="none"/>
          <w:lang w:val="en-US" w:eastAsia="zh-CN"/>
        </w:rPr>
        <w:t>全年按规定更新一般执法执勤车辆</w:t>
      </w:r>
      <w:r>
        <w:rPr>
          <w:rFonts w:hint="eastAsia" w:ascii="Times New Roman" w:hAnsi="Times New Roman" w:eastAsia="仿宋_GB2312" w:cs="Times New Roman"/>
          <w:sz w:val="32"/>
          <w:szCs w:val="32"/>
          <w:lang w:val="en-US" w:eastAsia="zh-CN"/>
        </w:rPr>
        <w:t>1辆、特种专业技术车辆1辆。</w:t>
      </w:r>
      <w:r>
        <w:rPr>
          <w:rFonts w:hint="eastAsia" w:ascii="仿宋_GB2312" w:eastAsia="仿宋_GB2312"/>
          <w:color w:val="000000"/>
          <w:sz w:val="32"/>
          <w:szCs w:val="32"/>
        </w:rPr>
        <w:t>截至</w:t>
      </w:r>
      <w:r>
        <w:rPr>
          <w:rFonts w:hint="eastAsia" w:ascii="Times New Roman" w:hAnsi="Times New Roman" w:eastAsia="仿宋_GB2312" w:cs="Times New Roman"/>
          <w:sz w:val="32"/>
          <w:szCs w:val="32"/>
          <w:lang w:val="en-US" w:eastAsia="zh-CN"/>
        </w:rPr>
        <w:t>2025</w:t>
      </w:r>
      <w:r>
        <w:rPr>
          <w:rFonts w:hint="eastAsia" w:ascii="仿宋_GB2312" w:eastAsia="仿宋_GB2312"/>
          <w:color w:val="000000"/>
          <w:sz w:val="32"/>
          <w:szCs w:val="32"/>
        </w:rPr>
        <w:t>年</w:t>
      </w:r>
      <w:r>
        <w:rPr>
          <w:rFonts w:hint="eastAsia" w:ascii="Times New Roman" w:hAnsi="Times New Roman" w:eastAsia="仿宋_GB2312" w:cs="Times New Roman"/>
          <w:sz w:val="32"/>
          <w:szCs w:val="32"/>
          <w:lang w:val="en-US" w:eastAsia="zh-CN"/>
        </w:rPr>
        <w:t>12</w:t>
      </w:r>
      <w:r>
        <w:rPr>
          <w:rFonts w:hint="eastAsia" w:ascii="仿宋_GB2312" w:eastAsia="仿宋_GB2312"/>
          <w:color w:val="000000"/>
          <w:sz w:val="32"/>
          <w:szCs w:val="32"/>
        </w:rPr>
        <w:t>月底</w:t>
      </w:r>
      <w:r>
        <w:rPr>
          <w:rFonts w:hint="eastAsia" w:ascii="仿宋_GB2312" w:eastAsia="仿宋_GB2312"/>
          <w:color w:val="000000"/>
          <w:sz w:val="32"/>
          <w:szCs w:val="32"/>
          <w:highlight w:val="none"/>
          <w:lang w:eastAsia="zh-CN"/>
        </w:rPr>
        <w:t>，</w:t>
      </w:r>
      <w:r>
        <w:rPr>
          <w:rFonts w:hint="eastAsia" w:ascii="仿宋_GB2312" w:eastAsia="仿宋_GB2312"/>
          <w:color w:val="000000"/>
          <w:sz w:val="32"/>
          <w:szCs w:val="32"/>
          <w:highlight w:val="none"/>
          <w:lang w:val="en-US" w:eastAsia="zh-CN"/>
        </w:rPr>
        <w:t>我院共有车辆</w:t>
      </w:r>
      <w:r>
        <w:rPr>
          <w:rFonts w:hint="eastAsia" w:eastAsia="仿宋_GB2312" w:cs="Times New Roman"/>
          <w:sz w:val="32"/>
          <w:szCs w:val="32"/>
          <w:lang w:val="en-US" w:eastAsia="zh-CN"/>
        </w:rPr>
        <w:t>20</w:t>
      </w:r>
      <w:r>
        <w:rPr>
          <w:rFonts w:hint="eastAsia" w:ascii="仿宋_GB2312" w:eastAsia="仿宋_GB2312"/>
          <w:color w:val="000000"/>
          <w:sz w:val="32"/>
          <w:szCs w:val="32"/>
          <w:highlight w:val="none"/>
          <w:lang w:val="en-US" w:eastAsia="zh-CN"/>
        </w:rPr>
        <w:t>辆，</w:t>
      </w:r>
      <w:r>
        <w:rPr>
          <w:rFonts w:hint="eastAsia" w:ascii="仿宋_GB2312" w:eastAsia="仿宋_GB2312"/>
          <w:color w:val="000000"/>
          <w:sz w:val="32"/>
          <w:szCs w:val="32"/>
          <w:highlight w:val="none"/>
        </w:rPr>
        <w:t>执法执勤用车</w:t>
      </w:r>
      <w:r>
        <w:rPr>
          <w:rFonts w:hint="eastAsia" w:ascii="Times New Roman" w:hAnsi="Times New Roman" w:eastAsia="仿宋_GB2312" w:cs="Times New Roman"/>
          <w:sz w:val="32"/>
          <w:szCs w:val="32"/>
          <w:lang w:val="en-US" w:eastAsia="zh-CN"/>
        </w:rPr>
        <w:t>10</w:t>
      </w:r>
      <w:r>
        <w:rPr>
          <w:rFonts w:hint="eastAsia" w:ascii="仿宋_GB2312" w:eastAsia="仿宋_GB2312"/>
          <w:color w:val="000000"/>
          <w:sz w:val="32"/>
          <w:szCs w:val="32"/>
          <w:highlight w:val="none"/>
        </w:rPr>
        <w:t>辆，</w:t>
      </w:r>
      <w:r>
        <w:rPr>
          <w:rFonts w:hint="eastAsia" w:ascii="仿宋_GB2312" w:eastAsia="仿宋_GB2312"/>
          <w:color w:val="000000"/>
          <w:sz w:val="32"/>
          <w:szCs w:val="32"/>
          <w:highlight w:val="none"/>
          <w:lang w:val="en-US" w:eastAsia="zh-CN"/>
        </w:rPr>
        <w:t>特种专业技术用车</w:t>
      </w:r>
      <w:r>
        <w:rPr>
          <w:rFonts w:hint="eastAsia" w:eastAsia="仿宋_GB2312" w:cs="Times New Roman"/>
          <w:sz w:val="32"/>
          <w:szCs w:val="32"/>
          <w:lang w:val="en-US" w:eastAsia="zh-CN"/>
        </w:rPr>
        <w:t>9</w:t>
      </w:r>
      <w:r>
        <w:rPr>
          <w:rFonts w:hint="eastAsia" w:ascii="仿宋_GB2312" w:eastAsia="仿宋_GB2312"/>
          <w:color w:val="000000"/>
          <w:sz w:val="32"/>
          <w:szCs w:val="32"/>
          <w:highlight w:val="none"/>
          <w:lang w:val="en-US" w:eastAsia="zh-CN"/>
        </w:rPr>
        <w:t>辆、一般公务用车</w:t>
      </w:r>
      <w:r>
        <w:rPr>
          <w:rFonts w:hint="eastAsia" w:ascii="Times New Roman" w:hAnsi="Times New Roman" w:eastAsia="仿宋_GB2312" w:cs="Times New Roman"/>
          <w:sz w:val="32"/>
          <w:szCs w:val="32"/>
          <w:lang w:val="en-US" w:eastAsia="zh-CN"/>
        </w:rPr>
        <w:t>1</w:t>
      </w:r>
      <w:r>
        <w:rPr>
          <w:rFonts w:hint="eastAsia" w:ascii="仿宋_GB2312" w:eastAsia="仿宋_GB2312"/>
          <w:color w:val="000000"/>
          <w:sz w:val="32"/>
          <w:szCs w:val="32"/>
          <w:highlight w:val="none"/>
          <w:lang w:val="en-US" w:eastAsia="zh-CN"/>
        </w:rPr>
        <w:t>辆（不占编制）。</w:t>
      </w:r>
    </w:p>
    <w:p w14:paraId="30FD7A79">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eastAsia="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Times New Roman" w:hAnsi="Times New Roman" w:eastAsia="仿宋_GB2312" w:cs="Times New Roman"/>
          <w:sz w:val="32"/>
          <w:szCs w:val="32"/>
          <w:lang w:val="en-US" w:eastAsia="zh-CN"/>
        </w:rPr>
        <w:t>162.93</w:t>
      </w:r>
      <w:r>
        <w:rPr>
          <w:rFonts w:hint="eastAsia" w:eastAsia="仿宋_GB2312" w:cs="仿宋_GB2312"/>
          <w:sz w:val="32"/>
          <w:szCs w:val="32"/>
        </w:rPr>
        <w:t>万元。主要用于</w:t>
      </w:r>
      <w:r>
        <w:rPr>
          <w:rFonts w:hint="eastAsia" w:ascii="仿宋_GB2312" w:eastAsia="仿宋_GB2312"/>
          <w:color w:val="000000"/>
          <w:sz w:val="32"/>
          <w:szCs w:val="32"/>
        </w:rPr>
        <w:t>主要用于</w:t>
      </w:r>
      <w:r>
        <w:rPr>
          <w:rFonts w:hint="eastAsia" w:ascii="仿宋_GB2312" w:eastAsia="仿宋_GB2312"/>
          <w:color w:val="000000"/>
          <w:sz w:val="32"/>
          <w:szCs w:val="32"/>
          <w:lang w:val="en-US" w:eastAsia="zh-CN"/>
        </w:rPr>
        <w:t>办公、</w:t>
      </w:r>
      <w:r>
        <w:rPr>
          <w:rFonts w:ascii="仿宋_GB2312" w:eastAsia="仿宋_GB2312"/>
          <w:color w:val="000000"/>
          <w:sz w:val="32"/>
          <w:szCs w:val="32"/>
        </w:rPr>
        <w:t>办案</w:t>
      </w:r>
      <w:r>
        <w:rPr>
          <w:rFonts w:hint="eastAsia" w:ascii="仿宋_GB2312" w:eastAsia="仿宋_GB2312"/>
          <w:color w:val="000000"/>
          <w:sz w:val="32"/>
          <w:szCs w:val="32"/>
        </w:rPr>
        <w:t>等所需的公务用车燃料费、维修费、过路过桥费、保险费等支出</w:t>
      </w:r>
      <w:r>
        <w:rPr>
          <w:rFonts w:hint="eastAsia" w:ascii="仿宋_GB2312" w:eastAsia="仿宋_GB2312"/>
          <w:sz w:val="32"/>
          <w:szCs w:val="32"/>
        </w:rPr>
        <w:t>。</w:t>
      </w:r>
    </w:p>
    <w:p w14:paraId="2C59A127">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b/>
          <w:bCs/>
          <w:sz w:val="32"/>
          <w:szCs w:val="32"/>
        </w:rPr>
        <w:t>3.公务接待费支出</w:t>
      </w:r>
      <w:r>
        <w:rPr>
          <w:rFonts w:hint="eastAsia" w:ascii="Times New Roman" w:hAnsi="Times New Roman" w:eastAsia="仿宋_GB2312" w:cs="Times New Roman"/>
          <w:b/>
          <w:bCs/>
          <w:sz w:val="32"/>
          <w:szCs w:val="32"/>
          <w:lang w:val="en-US" w:eastAsia="zh-CN"/>
        </w:rPr>
        <w:t>0.74</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减少</w:t>
      </w:r>
      <w:r>
        <w:rPr>
          <w:rFonts w:hint="eastAsia" w:eastAsia="仿宋_GB2312" w:cs="仿宋_GB2312"/>
          <w:sz w:val="32"/>
          <w:szCs w:val="32"/>
          <w:lang w:val="en-US" w:eastAsia="zh-CN"/>
        </w:rPr>
        <w:t>0.09</w:t>
      </w:r>
      <w:r>
        <w:rPr>
          <w:rFonts w:hint="eastAsia" w:eastAsia="仿宋_GB2312" w:cs="仿宋_GB2312"/>
          <w:sz w:val="32"/>
          <w:szCs w:val="32"/>
        </w:rPr>
        <w:t>万元，下降</w:t>
      </w:r>
      <w:r>
        <w:rPr>
          <w:rFonts w:hint="eastAsia" w:eastAsia="仿宋_GB2312" w:cs="仿宋_GB2312"/>
          <w:sz w:val="32"/>
          <w:szCs w:val="32"/>
          <w:lang w:val="en-US" w:eastAsia="zh-CN"/>
        </w:rPr>
        <w:t>10.84</w:t>
      </w:r>
      <w:r>
        <w:rPr>
          <w:rFonts w:hint="eastAsia" w:eastAsia="仿宋_GB2312" w:cs="仿宋_GB2312"/>
          <w:sz w:val="32"/>
          <w:szCs w:val="32"/>
        </w:rPr>
        <w:t>%。主要原因是</w:t>
      </w:r>
      <w:r>
        <w:rPr>
          <w:rFonts w:hint="eastAsia" w:eastAsia="仿宋_GB2312" w:cs="仿宋_GB2312"/>
          <w:sz w:val="32"/>
          <w:szCs w:val="32"/>
          <w:lang w:val="en-US" w:eastAsia="zh-CN"/>
        </w:rPr>
        <w:t>我院厉行节俭，减少公务接待</w:t>
      </w:r>
      <w:r>
        <w:rPr>
          <w:rFonts w:hint="eastAsia" w:eastAsia="仿宋_GB2312" w:cs="仿宋_GB2312"/>
          <w:sz w:val="32"/>
          <w:szCs w:val="32"/>
        </w:rPr>
        <w:t>。其中：</w:t>
      </w:r>
    </w:p>
    <w:p w14:paraId="6869543D">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hAnsi="Times New Roman" w:eastAsia="仿宋_GB2312" w:cs="Times New Roman"/>
          <w:sz w:val="32"/>
          <w:szCs w:val="32"/>
        </w:rPr>
      </w:pPr>
      <w:r>
        <w:rPr>
          <w:rFonts w:hint="eastAsia" w:ascii="仿宋" w:hAnsi="仿宋" w:eastAsia="仿宋"/>
          <w:b/>
          <w:sz w:val="32"/>
          <w:szCs w:val="32"/>
        </w:rPr>
        <w:t>国内公务接待支出</w:t>
      </w:r>
      <w:r>
        <w:rPr>
          <w:rFonts w:hint="eastAsia" w:ascii="Times New Roman" w:hAnsi="Times New Roman" w:eastAsia="仿宋" w:cs="Times New Roman"/>
          <w:b/>
          <w:sz w:val="32"/>
          <w:szCs w:val="32"/>
          <w:lang w:val="en-US" w:eastAsia="zh-CN"/>
        </w:rPr>
        <w:t>0.74</w:t>
      </w:r>
      <w:r>
        <w:rPr>
          <w:rFonts w:hint="eastAsia" w:ascii="仿宋_GB2312" w:eastAsia="仿宋_GB2312"/>
          <w:sz w:val="32"/>
          <w:szCs w:val="32"/>
        </w:rPr>
        <w:t>万元，</w:t>
      </w:r>
      <w:r>
        <w:rPr>
          <w:rFonts w:hint="eastAsia" w:ascii="仿宋_GB2312" w:eastAsia="仿宋_GB2312"/>
          <w:color w:val="000000"/>
          <w:sz w:val="32"/>
          <w:szCs w:val="32"/>
        </w:rPr>
        <w:t>主要用于执行公务、开展业务活动开支的住宿费、用餐费等</w:t>
      </w:r>
      <w:r>
        <w:rPr>
          <w:rFonts w:hint="eastAsia" w:ascii="仿宋_GB2312" w:eastAsia="仿宋_GB2312"/>
          <w:sz w:val="32"/>
          <w:szCs w:val="32"/>
        </w:rPr>
        <w:t>。国内公务接待</w:t>
      </w:r>
      <w:r>
        <w:rPr>
          <w:rFonts w:hint="eastAsia" w:ascii="仿宋_GB2312" w:eastAsia="仿宋_GB2312"/>
          <w:sz w:val="32"/>
          <w:szCs w:val="32"/>
          <w:lang w:val="en-US" w:eastAsia="zh-CN"/>
        </w:rPr>
        <w:t>5</w:t>
      </w:r>
      <w:r>
        <w:rPr>
          <w:rFonts w:hint="eastAsia" w:ascii="仿宋_GB2312" w:eastAsia="仿宋_GB2312"/>
          <w:sz w:val="32"/>
          <w:szCs w:val="32"/>
        </w:rPr>
        <w:t>批次，</w:t>
      </w:r>
      <w:r>
        <w:rPr>
          <w:rFonts w:hint="eastAsia" w:ascii="Times New Roman" w:hAnsi="Times New Roman" w:eastAsia="仿宋_GB2312" w:cs="Times New Roman"/>
          <w:sz w:val="32"/>
          <w:szCs w:val="32"/>
          <w:lang w:val="en-US" w:eastAsia="zh-CN"/>
        </w:rPr>
        <w:t>55</w:t>
      </w:r>
      <w:r>
        <w:rPr>
          <w:rFonts w:hint="eastAsia" w:ascii="仿宋_GB2312" w:eastAsia="仿宋_GB2312"/>
          <w:sz w:val="32"/>
          <w:szCs w:val="32"/>
        </w:rPr>
        <w:t>人次（不包括陪同人员），共计支出</w:t>
      </w:r>
      <w:r>
        <w:rPr>
          <w:rFonts w:hint="eastAsia" w:ascii="Times New Roman" w:hAnsi="Times New Roman" w:eastAsia="仿宋_GB2312" w:cs="Times New Roman"/>
          <w:sz w:val="32"/>
          <w:szCs w:val="32"/>
          <w:lang w:val="en-US" w:eastAsia="zh-CN"/>
        </w:rPr>
        <w:t>0.74</w:t>
      </w:r>
      <w:r>
        <w:rPr>
          <w:rFonts w:hint="eastAsia" w:ascii="仿宋_GB2312" w:eastAsia="仿宋_GB2312"/>
          <w:sz w:val="32"/>
          <w:szCs w:val="32"/>
        </w:rPr>
        <w:t>万元，具体内容包</w:t>
      </w:r>
      <w:r>
        <w:rPr>
          <w:rFonts w:hint="eastAsia" w:ascii="仿宋_GB2312" w:hAnsi="Times New Roman" w:eastAsia="仿宋_GB2312" w:cs="Times New Roman"/>
          <w:sz w:val="32"/>
          <w:szCs w:val="32"/>
        </w:rPr>
        <w:t>括：</w:t>
      </w:r>
      <w:r>
        <w:rPr>
          <w:rFonts w:hint="default" w:ascii="仿宋_GB2312" w:hAnsi="Times New Roman" w:eastAsia="仿宋_GB2312" w:cs="Times New Roman"/>
          <w:sz w:val="32"/>
          <w:szCs w:val="32"/>
        </w:rPr>
        <w:t>接待来访相关单位人员餐费。</w:t>
      </w:r>
    </w:p>
    <w:p w14:paraId="16D70C20">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万元。外事接待</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批次，</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人次（不包括陪同人员），共计支出</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w:t>
      </w:r>
    </w:p>
    <w:p w14:paraId="1C120E78">
      <w:pPr>
        <w:keepNext w:val="0"/>
        <w:keepLines w:val="0"/>
        <w:pageBreakBefore w:val="0"/>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eastAsia="黑体"/>
        </w:rPr>
      </w:pPr>
      <w:r>
        <w:rPr>
          <w:rFonts w:hint="eastAsia" w:eastAsia="黑体"/>
          <w:sz w:val="32"/>
          <w:szCs w:val="32"/>
        </w:rPr>
        <w:t>八、</w:t>
      </w:r>
      <w:r>
        <w:rPr>
          <w:rStyle w:val="30"/>
          <w:rFonts w:hint="eastAsia" w:ascii="Times New Roman" w:hAnsi="Times New Roman" w:eastAsia="黑体"/>
          <w:b w:val="0"/>
        </w:rPr>
        <w:t>政府性基金预算支出决算情况说明</w:t>
      </w:r>
      <w:bookmarkEnd w:id="44"/>
      <w:bookmarkEnd w:id="45"/>
    </w:p>
    <w:p w14:paraId="3528C492">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Times New Roman" w:hAnsi="Times New Roman" w:eastAsia="仿宋_GB2312" w:cs="Times New Roman"/>
          <w:sz w:val="32"/>
          <w:szCs w:val="32"/>
          <w:lang w:val="en-US" w:eastAsia="zh-CN"/>
        </w:rPr>
        <w:t>2025</w:t>
      </w:r>
      <w:r>
        <w:rPr>
          <w:rFonts w:hint="eastAsia" w:ascii="仿宋_GB2312" w:hAnsi="仿宋_GB2312" w:eastAsia="仿宋_GB2312" w:cs="仿宋_GB2312"/>
          <w:sz w:val="32"/>
          <w:szCs w:val="32"/>
        </w:rPr>
        <w:t>年度政府性基金预算财政拨款支出</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万元，占本年支出合计的</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。与</w:t>
      </w:r>
      <w:r>
        <w:rPr>
          <w:rFonts w:hint="eastAsia" w:ascii="Times New Roman" w:hAnsi="Times New Roman" w:eastAsia="仿宋_GB2312" w:cs="Times New Roman"/>
          <w:sz w:val="32"/>
          <w:szCs w:val="32"/>
          <w:lang w:val="en-US" w:eastAsia="zh-CN"/>
        </w:rPr>
        <w:t>2024</w:t>
      </w:r>
      <w:r>
        <w:rPr>
          <w:rFonts w:hint="eastAsia" w:eastAsia="仿宋_GB2312" w:cs="仿宋_GB2312"/>
          <w:sz w:val="32"/>
          <w:szCs w:val="32"/>
        </w:rPr>
        <w:t>年度相比</w:t>
      </w:r>
      <w:r>
        <w:rPr>
          <w:rFonts w:hint="eastAsia" w:eastAsia="仿宋_GB2312" w:cs="仿宋_GB2312"/>
          <w:sz w:val="32"/>
          <w:szCs w:val="32"/>
          <w:lang w:val="en-US" w:eastAsia="zh-CN"/>
        </w:rPr>
        <w:t>无变化。</w:t>
      </w:r>
    </w:p>
    <w:p w14:paraId="6BA2FD68">
      <w:pPr>
        <w:keepNext w:val="0"/>
        <w:keepLines w:val="0"/>
        <w:pageBreakBefore w:val="0"/>
        <w:kinsoku/>
        <w:wordWrap/>
        <w:overflowPunct/>
        <w:topLinePunct w:val="0"/>
        <w:autoSpaceDE/>
        <w:autoSpaceDN/>
        <w:bidi w:val="0"/>
        <w:adjustRightInd/>
        <w:snapToGrid/>
        <w:spacing w:line="560" w:lineRule="exact"/>
        <w:ind w:left="630"/>
        <w:textAlignment w:val="auto"/>
        <w:outlineLvl w:val="1"/>
        <w:rPr>
          <w:rStyle w:val="30"/>
          <w:rFonts w:ascii="Times New Roman" w:hAnsi="Times New Roman" w:eastAsia="黑体"/>
          <w:b w:val="0"/>
        </w:rPr>
      </w:pPr>
      <w:bookmarkStart w:id="46" w:name="_Toc15377219"/>
      <w:bookmarkStart w:id="47" w:name="_Toc15396611"/>
      <w:r>
        <w:rPr>
          <w:rStyle w:val="30"/>
          <w:rFonts w:hint="eastAsia" w:ascii="Times New Roman" w:hAnsi="Times New Roman" w:eastAsia="黑体"/>
          <w:b w:val="0"/>
        </w:rPr>
        <w:t>九、国有资本经营预算支出决算情况说明</w:t>
      </w:r>
      <w:bookmarkEnd w:id="46"/>
      <w:bookmarkEnd w:id="47"/>
    </w:p>
    <w:p w14:paraId="7A84142C">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Times New Roman" w:hAnsi="Times New Roman" w:eastAsia="仿宋_GB2312" w:cs="Times New Roman"/>
          <w:sz w:val="32"/>
          <w:szCs w:val="32"/>
          <w:lang w:val="en-US" w:eastAsia="zh-CN"/>
        </w:rPr>
        <w:t>2025</w:t>
      </w:r>
      <w:r>
        <w:rPr>
          <w:rFonts w:hint="eastAsia" w:eastAsia="仿宋_GB2312" w:cs="仿宋_GB2312"/>
          <w:sz w:val="32"/>
          <w:szCs w:val="32"/>
        </w:rPr>
        <w:t>年度国有资本经营预算财政拨款支出</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万元，占本年支出合计的</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。与</w:t>
      </w:r>
      <w:r>
        <w:rPr>
          <w:rFonts w:hint="eastAsia" w:ascii="Times New Roman" w:hAnsi="Times New Roman" w:eastAsia="仿宋_GB2312" w:cs="Times New Roman"/>
          <w:sz w:val="32"/>
          <w:szCs w:val="32"/>
          <w:lang w:val="en-US" w:eastAsia="zh-CN"/>
        </w:rPr>
        <w:t>2024</w:t>
      </w:r>
      <w:r>
        <w:rPr>
          <w:rFonts w:hint="eastAsia" w:eastAsia="仿宋_GB2312" w:cs="仿宋_GB2312"/>
          <w:sz w:val="32"/>
          <w:szCs w:val="32"/>
        </w:rPr>
        <w:t>年度相比</w:t>
      </w:r>
      <w:r>
        <w:rPr>
          <w:rFonts w:hint="eastAsia" w:eastAsia="仿宋_GB2312" w:cs="仿宋_GB2312"/>
          <w:sz w:val="32"/>
          <w:szCs w:val="32"/>
          <w:lang w:val="en-US" w:eastAsia="zh-CN"/>
        </w:rPr>
        <w:t>无变化。</w:t>
      </w:r>
    </w:p>
    <w:p w14:paraId="3D26803A">
      <w:pPr>
        <w:keepNext w:val="0"/>
        <w:keepLines w:val="0"/>
        <w:pageBreakBefore w:val="0"/>
        <w:kinsoku/>
        <w:wordWrap/>
        <w:overflowPunct/>
        <w:topLinePunct w:val="0"/>
        <w:autoSpaceDE/>
        <w:autoSpaceDN/>
        <w:bidi w:val="0"/>
        <w:adjustRightInd/>
        <w:snapToGrid/>
        <w:spacing w:line="560" w:lineRule="exact"/>
        <w:ind w:left="630"/>
        <w:textAlignment w:val="auto"/>
        <w:outlineLvl w:val="1"/>
        <w:rPr>
          <w:rStyle w:val="30"/>
          <w:rFonts w:ascii="Times New Roman" w:hAnsi="Times New Roman" w:eastAsia="黑体"/>
          <w:b w:val="0"/>
        </w:rPr>
      </w:pPr>
      <w:bookmarkStart w:id="48" w:name="_Toc15396612"/>
      <w:bookmarkStart w:id="49" w:name="_Toc15377221"/>
      <w:r>
        <w:rPr>
          <w:rStyle w:val="30"/>
          <w:rFonts w:hint="eastAsia" w:ascii="Times New Roman" w:hAnsi="Times New Roman" w:eastAsia="黑体"/>
          <w:b w:val="0"/>
        </w:rPr>
        <w:t>十、其他重要事项的情况说明</w:t>
      </w:r>
      <w:bookmarkEnd w:id="48"/>
      <w:bookmarkEnd w:id="49"/>
    </w:p>
    <w:p w14:paraId="0466F1C1">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50" w:name="_Toc15377222"/>
      <w:r>
        <w:rPr>
          <w:rFonts w:hint="eastAsia" w:eastAsia="楷体_GB2312" w:cs="楷体_GB2312"/>
          <w:b/>
          <w:sz w:val="32"/>
          <w:szCs w:val="32"/>
        </w:rPr>
        <w:t>（一）机关运行经费支出情况</w:t>
      </w:r>
      <w:bookmarkEnd w:id="50"/>
    </w:p>
    <w:p w14:paraId="41DCD234">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eastAsia="仿宋_GB2312" w:cs="仿宋_GB2312"/>
          <w:sz w:val="32"/>
          <w:szCs w:val="32"/>
          <w:highlight w:val="none"/>
          <w:lang w:val="en-US" w:eastAsia="zh-CN"/>
        </w:rPr>
      </w:pP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，阿坝藏族羌族自治州人民检察院机关运行经费支出</w:t>
      </w:r>
      <w:r>
        <w:rPr>
          <w:rFonts w:hint="eastAsia" w:ascii="Times New Roman" w:hAnsi="Times New Roman" w:eastAsia="仿宋_GB2312" w:cs="Times New Roman"/>
          <w:sz w:val="32"/>
          <w:szCs w:val="32"/>
          <w:lang w:val="en-US" w:eastAsia="zh-CN"/>
        </w:rPr>
        <w:t>202.89</w:t>
      </w:r>
      <w:r>
        <w:rPr>
          <w:rFonts w:hint="eastAsia" w:ascii="仿宋_GB2312" w:hAnsi="仿宋_GB2312" w:eastAsia="仿宋_GB2312" w:cs="仿宋_GB2312"/>
          <w:sz w:val="32"/>
          <w:szCs w:val="32"/>
        </w:rPr>
        <w:t>万</w:t>
      </w:r>
      <w:r>
        <w:rPr>
          <w:rFonts w:hint="eastAsia" w:eastAsia="仿宋_GB2312" w:cs="仿宋_GB2312"/>
          <w:sz w:val="32"/>
          <w:szCs w:val="32"/>
        </w:rPr>
        <w:t>元，比</w:t>
      </w:r>
      <w:r>
        <w:rPr>
          <w:rFonts w:hint="eastAsia" w:ascii="Times New Roman" w:hAnsi="Times New Roman" w:eastAsia="仿宋_GB2312" w:cs="Times New Roman"/>
          <w:sz w:val="32"/>
          <w:szCs w:val="32"/>
          <w:lang w:val="en-US" w:eastAsia="zh-CN"/>
        </w:rPr>
        <w:t>2024</w:t>
      </w:r>
      <w:r>
        <w:rPr>
          <w:rFonts w:hint="eastAsia" w:eastAsia="仿宋_GB2312" w:cs="仿宋_GB2312"/>
          <w:sz w:val="32"/>
          <w:szCs w:val="32"/>
        </w:rPr>
        <w:t>年度</w:t>
      </w:r>
      <w:r>
        <w:rPr>
          <w:rFonts w:hint="eastAsia" w:eastAsia="仿宋_GB2312" w:cs="仿宋_GB2312"/>
          <w:sz w:val="32"/>
          <w:szCs w:val="32"/>
          <w:lang w:eastAsia="zh-CN"/>
        </w:rPr>
        <w:t>减少</w:t>
      </w:r>
      <w:r>
        <w:rPr>
          <w:rFonts w:hint="eastAsia" w:eastAsia="仿宋_GB2312" w:cs="仿宋_GB2312"/>
          <w:sz w:val="32"/>
          <w:szCs w:val="32"/>
          <w:lang w:val="en-US" w:eastAsia="zh-CN"/>
        </w:rPr>
        <w:t>266.47</w:t>
      </w:r>
      <w:r>
        <w:rPr>
          <w:rFonts w:hint="eastAsia" w:eastAsia="仿宋_GB2312" w:cs="仿宋_GB2312"/>
          <w:sz w:val="32"/>
          <w:szCs w:val="32"/>
        </w:rPr>
        <w:t>万元，</w:t>
      </w:r>
      <w:r>
        <w:rPr>
          <w:rFonts w:hint="eastAsia" w:eastAsia="仿宋_GB2312" w:cs="仿宋_GB2312"/>
          <w:sz w:val="32"/>
          <w:szCs w:val="32"/>
          <w:lang w:eastAsia="zh-CN"/>
        </w:rPr>
        <w:t>下降</w:t>
      </w:r>
      <w:r>
        <w:rPr>
          <w:rFonts w:hint="eastAsia" w:eastAsia="仿宋_GB2312" w:cs="仿宋_GB2312"/>
          <w:sz w:val="32"/>
          <w:szCs w:val="32"/>
          <w:lang w:val="en-US" w:eastAsia="zh-CN"/>
        </w:rPr>
        <w:t>56.77</w:t>
      </w:r>
      <w:r>
        <w:rPr>
          <w:rFonts w:hint="eastAsia" w:eastAsia="仿宋_GB2312" w:cs="仿宋_GB2312"/>
          <w:sz w:val="32"/>
          <w:szCs w:val="32"/>
        </w:rPr>
        <w:t>%。主要原因是</w:t>
      </w:r>
      <w:r>
        <w:rPr>
          <w:rFonts w:hint="eastAsia" w:eastAsia="仿宋_GB2312" w:cs="仿宋_GB2312"/>
          <w:sz w:val="32"/>
          <w:szCs w:val="32"/>
          <w:highlight w:val="none"/>
          <w:lang w:val="en-US" w:eastAsia="zh-CN"/>
        </w:rPr>
        <w:t>我院2025年按决算口径将同级保障的项目经费全部计入项目经费中。</w:t>
      </w:r>
    </w:p>
    <w:p w14:paraId="1E2B1D48">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highlight w:val="none"/>
        </w:rPr>
      </w:pPr>
      <w:bookmarkStart w:id="51" w:name="_Toc15377223"/>
      <w:r>
        <w:rPr>
          <w:rFonts w:hint="eastAsia" w:eastAsia="楷体_GB2312" w:cs="楷体_GB2312"/>
          <w:b/>
          <w:sz w:val="32"/>
          <w:szCs w:val="32"/>
          <w:highlight w:val="none"/>
        </w:rPr>
        <w:t>（二）政府采购支出情况</w:t>
      </w:r>
      <w:bookmarkEnd w:id="51"/>
    </w:p>
    <w:p w14:paraId="7859111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2025</w:t>
      </w:r>
      <w:r>
        <w:rPr>
          <w:rFonts w:hint="eastAsia" w:ascii="仿宋_GB2312" w:hAnsi="仿宋_GB2312" w:eastAsia="仿宋_GB2312" w:cs="仿宋_GB2312"/>
          <w:sz w:val="32"/>
          <w:szCs w:val="32"/>
        </w:rPr>
        <w:t>年度，阿坝藏族羌族自治州人民检察院政府采购支出总额</w:t>
      </w:r>
      <w:r>
        <w:rPr>
          <w:rFonts w:hint="eastAsia" w:ascii="Times New Roman" w:hAnsi="Times New Roman" w:eastAsia="仿宋_GB2312" w:cs="Times New Roman"/>
          <w:sz w:val="32"/>
          <w:szCs w:val="32"/>
          <w:lang w:val="en-US" w:eastAsia="zh-CN"/>
        </w:rPr>
        <w:t>733.86</w:t>
      </w:r>
      <w:r>
        <w:rPr>
          <w:rFonts w:hint="eastAsia" w:ascii="仿宋_GB2312" w:hAnsi="仿宋_GB2312" w:eastAsia="仿宋_GB2312" w:cs="仿宋_GB2312"/>
          <w:sz w:val="32"/>
          <w:szCs w:val="32"/>
        </w:rPr>
        <w:t>万元，其中：政府采购货物支出</w:t>
      </w:r>
      <w:r>
        <w:rPr>
          <w:rFonts w:hint="eastAsia" w:ascii="Times New Roman" w:hAnsi="Times New Roman" w:eastAsia="仿宋_GB2312" w:cs="Times New Roman"/>
          <w:sz w:val="32"/>
          <w:szCs w:val="32"/>
          <w:lang w:val="en-US" w:eastAsia="zh-CN"/>
        </w:rPr>
        <w:t>709.28</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eastAsia="zh-CN"/>
        </w:rPr>
        <w:t>阿坝州人民检察院</w:t>
      </w:r>
      <w:r>
        <w:rPr>
          <w:rFonts w:hint="eastAsia" w:ascii="仿宋_GB2312" w:hAnsi="仿宋_GB2312" w:eastAsia="仿宋_GB2312" w:cs="仿宋_GB2312"/>
          <w:sz w:val="32"/>
          <w:szCs w:val="32"/>
          <w:lang w:val="en-US" w:eastAsia="zh-CN"/>
        </w:rPr>
        <w:t>工作网视频会议项目、阿坝州检察机关（益加护民）智慧平台项目、阿坝州人民检察院执法执勤用车采购项目等。</w:t>
      </w:r>
      <w:r>
        <w:rPr>
          <w:rFonts w:hint="eastAsia" w:ascii="仿宋_GB2312" w:hAnsi="仿宋_GB2312" w:eastAsia="仿宋_GB2312" w:cs="仿宋_GB2312"/>
          <w:sz w:val="32"/>
          <w:szCs w:val="32"/>
        </w:rPr>
        <w:t>授予中小企业合同金额</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万元，占政府采购支出总额的</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%，其中：授予小微企业合同金额</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万元，占政府采购支出总额的</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政府采购服务支出</w:t>
      </w:r>
      <w:r>
        <w:rPr>
          <w:rFonts w:hint="eastAsia" w:ascii="Times New Roman" w:hAnsi="Times New Roman" w:eastAsia="仿宋_GB2312" w:cs="Times New Roman"/>
          <w:sz w:val="32"/>
          <w:szCs w:val="32"/>
          <w:lang w:val="en-US" w:eastAsia="zh-CN"/>
        </w:rPr>
        <w:t>24.58</w:t>
      </w:r>
      <w:r>
        <w:rPr>
          <w:rFonts w:hint="eastAsia" w:ascii="仿宋_GB2312" w:hAnsi="仿宋_GB2312" w:eastAsia="仿宋_GB2312" w:cs="仿宋_GB2312"/>
          <w:sz w:val="32"/>
          <w:szCs w:val="32"/>
          <w:lang w:val="en-US" w:eastAsia="zh-CN"/>
        </w:rPr>
        <w:t>万元，主要是阿坝州人民检察院物业管理服务采购项目。</w:t>
      </w:r>
    </w:p>
    <w:p w14:paraId="602AAED0">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52" w:name="_Toc15377224"/>
      <w:r>
        <w:rPr>
          <w:rFonts w:hint="eastAsia" w:eastAsia="楷体_GB2312" w:cs="楷体_GB2312"/>
          <w:b/>
          <w:sz w:val="32"/>
          <w:szCs w:val="32"/>
        </w:rPr>
        <w:t>（三）国有资产占有使用情况</w:t>
      </w:r>
      <w:bookmarkEnd w:id="52"/>
    </w:p>
    <w:p w14:paraId="47853F05">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eastAsia="仿宋_GB2312"/>
          <w:b/>
          <w:sz w:val="32"/>
          <w:szCs w:val="32"/>
          <w:highlight w:val="none"/>
          <w:lang w:val="en-US" w:eastAsia="zh-CN"/>
        </w:rPr>
      </w:pPr>
      <w:r>
        <w:rPr>
          <w:rFonts w:hint="eastAsia" w:ascii="仿宋_GB2312" w:hAnsi="仿宋_GB2312" w:eastAsia="仿宋_GB2312" w:cs="仿宋_GB2312"/>
          <w:sz w:val="32"/>
          <w:szCs w:val="32"/>
        </w:rPr>
        <w:t>截至</w:t>
      </w:r>
      <w:r>
        <w:rPr>
          <w:rFonts w:hint="eastAsia" w:ascii="Times New Roman" w:hAnsi="Times New Roman" w:eastAsia="仿宋_GB2312" w:cs="Times New Roman"/>
          <w:sz w:val="32"/>
          <w:szCs w:val="32"/>
          <w:lang w:val="en-US" w:eastAsia="zh-CN"/>
        </w:rPr>
        <w:t>2025</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lang w:val="en-US" w:eastAsia="zh-CN"/>
        </w:rPr>
        <w:t>12</w:t>
      </w:r>
      <w:r>
        <w:rPr>
          <w:rFonts w:hint="eastAsia" w:ascii="仿宋_GB2312" w:hAnsi="仿宋_GB2312" w:eastAsia="仿宋_GB2312" w:cs="仿宋_GB2312"/>
          <w:sz w:val="32"/>
          <w:szCs w:val="32"/>
        </w:rPr>
        <w:t>月</w:t>
      </w:r>
      <w:r>
        <w:rPr>
          <w:rFonts w:hint="eastAsia" w:ascii="Times New Roman" w:hAnsi="Times New Roman" w:eastAsia="仿宋_GB2312" w:cs="Times New Roman"/>
          <w:sz w:val="32"/>
          <w:szCs w:val="32"/>
          <w:lang w:val="en-US" w:eastAsia="zh-CN"/>
        </w:rPr>
        <w:t>31</w:t>
      </w:r>
      <w:r>
        <w:rPr>
          <w:rFonts w:hint="eastAsia" w:ascii="仿宋_GB2312" w:hAnsi="仿宋_GB2312" w:eastAsia="仿宋_GB2312" w:cs="仿宋_GB2312"/>
          <w:sz w:val="32"/>
          <w:szCs w:val="32"/>
        </w:rPr>
        <w:t>日，阿坝藏族羌族自治州人民检察院共有车辆</w:t>
      </w:r>
      <w:r>
        <w:rPr>
          <w:rFonts w:hint="eastAsia" w:eastAsia="仿宋_GB2312" w:cs="Times New Roman"/>
          <w:sz w:val="32"/>
          <w:szCs w:val="32"/>
          <w:lang w:val="en-US" w:eastAsia="zh-CN"/>
        </w:rPr>
        <w:t>20</w:t>
      </w:r>
      <w:r>
        <w:rPr>
          <w:rFonts w:hint="eastAsia" w:ascii="仿宋_GB2312" w:hAnsi="仿宋_GB2312" w:eastAsia="仿宋_GB2312" w:cs="仿宋_GB2312"/>
          <w:sz w:val="32"/>
          <w:szCs w:val="32"/>
        </w:rPr>
        <w:t>辆</w:t>
      </w:r>
      <w:r>
        <w:rPr>
          <w:rFonts w:hint="eastAsia" w:ascii="仿宋_GB2312" w:eastAsia="仿宋_GB2312"/>
          <w:color w:val="000000"/>
          <w:sz w:val="32"/>
          <w:szCs w:val="32"/>
          <w:highlight w:val="none"/>
          <w:lang w:val="en-US" w:eastAsia="zh-CN"/>
        </w:rPr>
        <w:t>，</w:t>
      </w:r>
      <w:r>
        <w:rPr>
          <w:rFonts w:hint="eastAsia" w:ascii="仿宋_GB2312" w:eastAsia="仿宋_GB2312"/>
          <w:color w:val="000000"/>
          <w:sz w:val="32"/>
          <w:szCs w:val="32"/>
          <w:highlight w:val="none"/>
        </w:rPr>
        <w:t>执法执勤用车</w:t>
      </w:r>
      <w:r>
        <w:rPr>
          <w:rFonts w:hint="eastAsia" w:ascii="Times New Roman" w:hAnsi="Times New Roman" w:eastAsia="仿宋_GB2312" w:cs="Times New Roman"/>
          <w:sz w:val="32"/>
          <w:szCs w:val="32"/>
          <w:lang w:val="en-US" w:eastAsia="zh-CN"/>
        </w:rPr>
        <w:t>10</w:t>
      </w:r>
      <w:r>
        <w:rPr>
          <w:rFonts w:hint="eastAsia" w:ascii="仿宋_GB2312" w:eastAsia="仿宋_GB2312"/>
          <w:color w:val="000000"/>
          <w:sz w:val="32"/>
          <w:szCs w:val="32"/>
          <w:highlight w:val="none"/>
        </w:rPr>
        <w:t>辆，</w:t>
      </w:r>
      <w:r>
        <w:rPr>
          <w:rFonts w:hint="eastAsia" w:ascii="仿宋_GB2312" w:eastAsia="仿宋_GB2312"/>
          <w:color w:val="000000"/>
          <w:sz w:val="32"/>
          <w:szCs w:val="32"/>
          <w:highlight w:val="none"/>
          <w:lang w:val="en-US" w:eastAsia="zh-CN"/>
        </w:rPr>
        <w:t>特种专业技术用车</w:t>
      </w:r>
      <w:r>
        <w:rPr>
          <w:rFonts w:hint="eastAsia" w:eastAsia="仿宋_GB2312" w:cs="Times New Roman"/>
          <w:sz w:val="32"/>
          <w:szCs w:val="32"/>
          <w:lang w:val="en-US" w:eastAsia="zh-CN"/>
        </w:rPr>
        <w:t>9</w:t>
      </w:r>
      <w:r>
        <w:rPr>
          <w:rFonts w:hint="eastAsia" w:ascii="仿宋_GB2312" w:eastAsia="仿宋_GB2312"/>
          <w:color w:val="000000"/>
          <w:sz w:val="32"/>
          <w:szCs w:val="32"/>
          <w:highlight w:val="none"/>
          <w:lang w:val="en-US" w:eastAsia="zh-CN"/>
        </w:rPr>
        <w:t>辆、一般公务用车</w:t>
      </w:r>
      <w:r>
        <w:rPr>
          <w:rFonts w:hint="eastAsia" w:ascii="Times New Roman" w:hAnsi="Times New Roman" w:eastAsia="仿宋_GB2312" w:cs="Times New Roman"/>
          <w:sz w:val="32"/>
          <w:szCs w:val="32"/>
          <w:lang w:val="en-US" w:eastAsia="zh-CN"/>
        </w:rPr>
        <w:t>1</w:t>
      </w:r>
      <w:r>
        <w:rPr>
          <w:rFonts w:hint="eastAsia" w:ascii="仿宋_GB2312" w:eastAsia="仿宋_GB2312"/>
          <w:color w:val="000000"/>
          <w:sz w:val="32"/>
          <w:szCs w:val="32"/>
          <w:highlight w:val="none"/>
          <w:lang w:val="en-US" w:eastAsia="zh-CN"/>
        </w:rPr>
        <w:t>辆（不占编制）。</w:t>
      </w:r>
    </w:p>
    <w:p w14:paraId="4F4D5BCD">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仿宋_GB2312" w:hAnsi="仿宋_GB2312" w:eastAsia="仿宋_GB2312" w:cs="仿宋_GB2312"/>
          <w:sz w:val="32"/>
          <w:szCs w:val="32"/>
        </w:rPr>
        <w:t>单价</w:t>
      </w:r>
      <w:r>
        <w:rPr>
          <w:rFonts w:hint="eastAsia" w:ascii="Times New Roman" w:hAnsi="Times New Roman" w:eastAsia="仿宋_GB2312" w:cs="Times New Roman"/>
          <w:sz w:val="32"/>
          <w:szCs w:val="32"/>
          <w:lang w:val="en-US" w:eastAsia="zh-CN"/>
        </w:rPr>
        <w:t>100</w:t>
      </w:r>
      <w:r>
        <w:rPr>
          <w:rFonts w:hint="eastAsia" w:ascii="仿宋_GB2312" w:hAnsi="仿宋_GB2312" w:eastAsia="仿宋_GB2312" w:cs="仿宋_GB2312"/>
          <w:sz w:val="32"/>
          <w:szCs w:val="32"/>
        </w:rPr>
        <w:t>万元（含）以上设备（不含车辆）</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0835EB2D">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r>
        <w:rPr>
          <w:rFonts w:hint="eastAsia" w:eastAsia="楷体_GB2312" w:cs="楷体_GB2312"/>
          <w:b/>
          <w:sz w:val="32"/>
          <w:szCs w:val="32"/>
        </w:rPr>
        <w:t>（四）预算绩效管理情况</w:t>
      </w:r>
    </w:p>
    <w:p w14:paraId="45C7AD64">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val="en-US" w:eastAsia="zh-CN"/>
        </w:rPr>
        <w:t>我院</w:t>
      </w:r>
      <w:r>
        <w:rPr>
          <w:rFonts w:hint="eastAsia" w:eastAsia="仿宋_GB2312" w:cs="仿宋_GB2312"/>
          <w:sz w:val="32"/>
          <w:szCs w:val="32"/>
        </w:rPr>
        <w:t>在</w:t>
      </w:r>
      <w:r>
        <w:rPr>
          <w:rFonts w:hint="eastAsia" w:ascii="Times New Roman" w:hAnsi="Times New Roman" w:eastAsia="仿宋_GB2312" w:cs="Times New Roman"/>
          <w:sz w:val="32"/>
          <w:szCs w:val="32"/>
          <w:lang w:val="en-US" w:eastAsia="zh-CN"/>
        </w:rPr>
        <w:t>2025</w:t>
      </w:r>
      <w:r>
        <w:rPr>
          <w:rFonts w:hint="eastAsia" w:eastAsia="仿宋_GB2312" w:cs="仿宋_GB2312"/>
          <w:sz w:val="32"/>
          <w:szCs w:val="32"/>
        </w:rPr>
        <w:t>年度预算编制阶段，组织对州检察院办案、办公信息网络</w:t>
      </w:r>
      <w:r>
        <w:rPr>
          <w:rFonts w:hint="eastAsia" w:eastAsia="仿宋_GB2312" w:cs="仿宋_GB2312"/>
          <w:sz w:val="32"/>
          <w:szCs w:val="32"/>
          <w:lang w:eastAsia="zh-CN"/>
        </w:rPr>
        <w:t>项目、州检察院业务经费项目、州检察院人民监督员经费项目</w:t>
      </w:r>
      <w:r>
        <w:rPr>
          <w:rFonts w:hint="eastAsia" w:eastAsia="仿宋_GB2312" w:cs="仿宋_GB2312"/>
          <w:sz w:val="32"/>
          <w:szCs w:val="32"/>
        </w:rPr>
        <w:t>等</w:t>
      </w:r>
      <w:r>
        <w:rPr>
          <w:rFonts w:hint="eastAsia" w:ascii="Times New Roman" w:hAnsi="Times New Roman" w:eastAsia="仿宋_GB2312" w:cs="Times New Roman"/>
          <w:sz w:val="32"/>
          <w:szCs w:val="32"/>
          <w:lang w:val="en-US" w:eastAsia="zh-CN"/>
        </w:rPr>
        <w:t>23</w:t>
      </w:r>
      <w:r>
        <w:rPr>
          <w:rFonts w:hint="eastAsia" w:eastAsia="仿宋_GB2312" w:cs="仿宋_GB2312"/>
          <w:sz w:val="32"/>
          <w:szCs w:val="32"/>
        </w:rPr>
        <w:t>个项目开展了预算事前绩效评估，对</w:t>
      </w:r>
      <w:r>
        <w:rPr>
          <w:rFonts w:hint="eastAsia" w:ascii="Times New Roman" w:hAnsi="Times New Roman" w:eastAsia="仿宋_GB2312" w:cs="Times New Roman"/>
          <w:sz w:val="32"/>
          <w:szCs w:val="32"/>
          <w:lang w:val="en-US" w:eastAsia="zh-CN"/>
        </w:rPr>
        <w:t>23</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23</w:t>
      </w:r>
      <w:r>
        <w:rPr>
          <w:rFonts w:hint="eastAsia" w:eastAsia="仿宋_GB2312" w:cs="仿宋_GB2312"/>
          <w:sz w:val="32"/>
          <w:szCs w:val="32"/>
        </w:rPr>
        <w:t>个项目开展绩效监控。</w:t>
      </w:r>
    </w:p>
    <w:p w14:paraId="4EF1CE94">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outlineLvl w:val="9"/>
        <w:rPr>
          <w:rFonts w:eastAsia="仿宋_GB2312" w:cs="仿宋_GB2312"/>
          <w:sz w:val="32"/>
          <w:szCs w:val="32"/>
        </w:rPr>
      </w:pPr>
      <w:r>
        <w:rPr>
          <w:rFonts w:hint="eastAsia" w:ascii="仿宋_GB2312" w:hAnsi="仿宋_GB2312" w:eastAsia="仿宋_GB2312" w:cs="仿宋_GB2312"/>
          <w:sz w:val="32"/>
          <w:szCs w:val="32"/>
        </w:rPr>
        <w:t>组织对</w:t>
      </w:r>
      <w:r>
        <w:rPr>
          <w:rFonts w:hint="eastAsia" w:eastAsia="仿宋_GB2312" w:cs="仿宋_GB2312"/>
          <w:sz w:val="32"/>
          <w:szCs w:val="32"/>
          <w:lang w:val="en-US" w:eastAsia="zh-CN"/>
        </w:rPr>
        <w:t>2025</w:t>
      </w:r>
      <w:r>
        <w:rPr>
          <w:rFonts w:hint="eastAsia" w:ascii="仿宋_GB2312" w:hAnsi="仿宋_GB2312" w:eastAsia="仿宋_GB2312" w:cs="仿宋_GB2312"/>
          <w:sz w:val="32"/>
          <w:szCs w:val="32"/>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lang w:val="en-US" w:eastAsia="zh-CN"/>
        </w:rPr>
        <w:t>阿坝州人民检察院</w:t>
      </w:r>
      <w:r>
        <w:rPr>
          <w:rFonts w:hint="default" w:ascii="仿宋_GB2312" w:hAnsi="仿宋_GB2312" w:eastAsia="仿宋_GB2312" w:cs="仿宋_GB2312"/>
          <w:sz w:val="32"/>
          <w:szCs w:val="32"/>
          <w:lang w:eastAsia="zh-CN"/>
        </w:rPr>
        <w:t>预算</w:t>
      </w:r>
      <w:r>
        <w:rPr>
          <w:rFonts w:hint="default" w:ascii="仿宋_GB2312" w:hAnsi="仿宋_GB2312" w:eastAsia="仿宋_GB2312" w:cs="仿宋_GB2312"/>
          <w:sz w:val="32"/>
          <w:szCs w:val="32"/>
        </w:rPr>
        <w:t>绩效</w:t>
      </w:r>
      <w:r>
        <w:rPr>
          <w:rFonts w:hint="eastAsia" w:ascii="仿宋_GB2312" w:hAnsi="仿宋_GB2312" w:eastAsia="仿宋_GB2312" w:cs="仿宋_GB2312"/>
          <w:sz w:val="32"/>
          <w:szCs w:val="32"/>
          <w:lang w:eastAsia="zh-CN"/>
        </w:rPr>
        <w:t>评价</w:t>
      </w:r>
      <w:r>
        <w:rPr>
          <w:rFonts w:hint="default" w:ascii="仿宋_GB2312" w:hAnsi="仿宋_GB2312" w:eastAsia="仿宋_GB2312" w:cs="仿宋_GB2312"/>
          <w:sz w:val="32"/>
          <w:szCs w:val="32"/>
        </w:rPr>
        <w:t>报告</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阿坝州人民检察院</w:t>
      </w:r>
      <w:r>
        <w:rPr>
          <w:rFonts w:hint="default" w:ascii="仿宋_GB2312" w:hAnsi="仿宋_GB2312" w:eastAsia="仿宋_GB2312" w:cs="仿宋_GB2312"/>
          <w:sz w:val="32"/>
          <w:szCs w:val="32"/>
        </w:rPr>
        <w:t>部门</w:t>
      </w:r>
      <w:r>
        <w:rPr>
          <w:rFonts w:hint="default" w:ascii="仿宋_GB2312" w:hAnsi="仿宋_GB2312" w:eastAsia="仿宋_GB2312" w:cs="仿宋_GB2312"/>
          <w:sz w:val="32"/>
          <w:szCs w:val="32"/>
          <w:lang w:eastAsia="zh-CN"/>
        </w:rPr>
        <w:t>预算</w:t>
      </w:r>
      <w:r>
        <w:rPr>
          <w:rFonts w:hint="default" w:ascii="仿宋_GB2312" w:hAnsi="仿宋_GB2312" w:eastAsia="仿宋_GB2312" w:cs="仿宋_GB2312"/>
          <w:sz w:val="32"/>
          <w:szCs w:val="32"/>
        </w:rPr>
        <w:t>绩效</w:t>
      </w:r>
      <w:r>
        <w:rPr>
          <w:rFonts w:hint="eastAsia" w:ascii="仿宋_GB2312" w:hAnsi="仿宋_GB2312" w:eastAsia="仿宋_GB2312" w:cs="仿宋_GB2312"/>
          <w:sz w:val="32"/>
          <w:szCs w:val="32"/>
          <w:lang w:eastAsia="zh-CN"/>
        </w:rPr>
        <w:t>评价</w:t>
      </w:r>
      <w:r>
        <w:rPr>
          <w:rFonts w:hint="default" w:ascii="仿宋_GB2312" w:hAnsi="仿宋_GB2312" w:eastAsia="仿宋_GB2312" w:cs="仿宋_GB2312"/>
          <w:sz w:val="32"/>
          <w:szCs w:val="32"/>
        </w:rPr>
        <w:t>报告</w:t>
      </w:r>
      <w:r>
        <w:rPr>
          <w:rFonts w:hint="eastAsia" w:ascii="仿宋_GB2312" w:hAnsi="仿宋_GB2312" w:eastAsia="仿宋_GB2312" w:cs="仿宋_GB2312"/>
          <w:sz w:val="32"/>
          <w:szCs w:val="32"/>
        </w:rPr>
        <w:t>，其中，阿坝州人民检察院预算绩效评价指标体系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绩效自评得分为</w:t>
      </w:r>
      <w:r>
        <w:rPr>
          <w:rFonts w:hint="default" w:ascii="Times New Roman" w:hAnsi="Times New Roman" w:eastAsia="仿宋_GB2312" w:cs="Times New Roman"/>
          <w:sz w:val="32"/>
          <w:szCs w:val="32"/>
          <w:lang w:val="en-US" w:eastAsia="zh-CN"/>
        </w:rPr>
        <w:t>90.</w:t>
      </w:r>
      <w:r>
        <w:rPr>
          <w:rFonts w:hint="eastAsia" w:ascii="Times New Roman" w:hAnsi="Times New Roman" w:eastAsia="仿宋_GB2312" w:cs="Times New Roman"/>
          <w:sz w:val="32"/>
          <w:szCs w:val="32"/>
          <w:lang w:val="en-US" w:eastAsia="zh-CN"/>
        </w:rPr>
        <w:t>51</w:t>
      </w:r>
      <w:r>
        <w:rPr>
          <w:rFonts w:hint="eastAsia" w:ascii="仿宋_GB2312" w:hAnsi="仿宋_GB2312" w:eastAsia="仿宋_GB2312" w:cs="仿宋_GB2312"/>
          <w:sz w:val="32"/>
          <w:szCs w:val="32"/>
        </w:rPr>
        <w:t>分。绩效自评报告详见附件。</w:t>
      </w:r>
    </w:p>
    <w:p w14:paraId="66AF0FCE">
      <w:pPr>
        <w:spacing w:line="600" w:lineRule="exact"/>
        <w:ind w:firstLine="640"/>
        <w:rPr>
          <w:rFonts w:eastAsia="仿宋_GB2312" w:cs="仿宋_GB2312"/>
          <w:sz w:val="32"/>
          <w:szCs w:val="32"/>
        </w:rPr>
      </w:pPr>
    </w:p>
    <w:p w14:paraId="4F1A65A3">
      <w:pPr>
        <w:rPr>
          <w:rFonts w:hint="eastAsia"/>
        </w:rPr>
      </w:pPr>
    </w:p>
    <w:p w14:paraId="103687C6">
      <w:pPr>
        <w:pStyle w:val="2"/>
        <w:pageBreakBefore w:val="0"/>
        <w:widowControl w:val="0"/>
        <w:kinsoku/>
        <w:wordWrap/>
        <w:overflowPunct/>
        <w:topLinePunct w:val="0"/>
        <w:bidi w:val="0"/>
        <w:snapToGrid/>
        <w:spacing w:line="560" w:lineRule="exact"/>
        <w:jc w:val="center"/>
        <w:textAlignment w:val="auto"/>
      </w:pPr>
      <w:r>
        <w:rPr>
          <w:rFonts w:hint="eastAsia"/>
        </w:rPr>
        <w:t>第三部分 名词解释</w:t>
      </w:r>
    </w:p>
    <w:p w14:paraId="293C3DE2">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default" w:ascii="Times New Roman" w:hAnsi="Times New Roman" w:eastAsia="仿宋_GB2312" w:cs="Times New Roman"/>
          <w:color w:val="auto"/>
          <w:kern w:val="2"/>
          <w:sz w:val="32"/>
          <w:szCs w:val="32"/>
          <w:lang w:val="en-US" w:eastAsia="zh-CN" w:bidi="ar-SA"/>
        </w:rPr>
        <w:t>1.</w:t>
      </w:r>
      <w:r>
        <w:rPr>
          <w:rFonts w:hint="eastAsia" w:ascii="仿宋_GB2312" w:eastAsia="仿宋_GB2312"/>
          <w:sz w:val="32"/>
          <w:szCs w:val="32"/>
        </w:rPr>
        <w:t>财政拨款收入：指单位从同级财政部门取得的财政预算资金。</w:t>
      </w:r>
    </w:p>
    <w:p w14:paraId="673C9492">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default" w:ascii="Times New Roman" w:hAnsi="Times New Roman" w:eastAsia="仿宋_GB2312" w:cs="Times New Roman"/>
          <w:color w:val="auto"/>
          <w:kern w:val="2"/>
          <w:sz w:val="32"/>
          <w:szCs w:val="32"/>
          <w:lang w:val="en-US" w:eastAsia="zh-CN" w:bidi="ar-SA"/>
        </w:rPr>
        <w:t>2.</w:t>
      </w:r>
      <w:r>
        <w:rPr>
          <w:rFonts w:hint="eastAsia" w:ascii="仿宋_GB2312" w:eastAsia="仿宋_GB2312"/>
          <w:sz w:val="32"/>
          <w:szCs w:val="32"/>
        </w:rPr>
        <w:t>事业收入：指事业单位开展专业业务活动及辅助活动取得的收入。</w:t>
      </w:r>
    </w:p>
    <w:p w14:paraId="5FDB132F">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default" w:ascii="Times New Roman" w:hAnsi="Times New Roman" w:eastAsia="仿宋_GB2312" w:cs="Times New Roman"/>
          <w:color w:val="auto"/>
          <w:kern w:val="2"/>
          <w:sz w:val="32"/>
          <w:szCs w:val="32"/>
          <w:lang w:val="en-US" w:eastAsia="zh-CN" w:bidi="ar-SA"/>
        </w:rPr>
        <w:t>3.</w:t>
      </w:r>
      <w:r>
        <w:rPr>
          <w:rFonts w:hint="eastAsia" w:ascii="仿宋_GB2312" w:eastAsia="仿宋_GB2312"/>
          <w:sz w:val="32"/>
          <w:szCs w:val="32"/>
        </w:rPr>
        <w:t>经营收入：指事业单位在专业业务活动及其辅助活动之外开展非独立核算经营活动取得的收入。</w:t>
      </w:r>
    </w:p>
    <w:p w14:paraId="5F3D073C">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default" w:ascii="Times New Roman" w:hAnsi="Times New Roman" w:eastAsia="仿宋_GB2312" w:cs="Times New Roman"/>
          <w:color w:val="auto"/>
          <w:kern w:val="2"/>
          <w:sz w:val="32"/>
          <w:szCs w:val="32"/>
          <w:lang w:val="en-US" w:eastAsia="zh-CN" w:bidi="ar-SA"/>
        </w:rPr>
        <w:t>4</w:t>
      </w:r>
      <w:r>
        <w:rPr>
          <w:rFonts w:ascii="仿宋_GB2312" w:eastAsia="仿宋_GB2312"/>
          <w:sz w:val="32"/>
          <w:szCs w:val="32"/>
        </w:rPr>
        <w:t>.</w:t>
      </w:r>
      <w:r>
        <w:rPr>
          <w:rFonts w:hint="eastAsia" w:ascii="仿宋_GB2312" w:eastAsia="仿宋_GB2312"/>
          <w:sz w:val="32"/>
          <w:szCs w:val="32"/>
        </w:rPr>
        <w:t>其他收入：指单位取得的除上述收入以外的各项收入。主要是</w:t>
      </w:r>
      <w:r>
        <w:rPr>
          <w:rFonts w:hint="eastAsia" w:ascii="仿宋_GB2312" w:eastAsia="仿宋_GB2312"/>
          <w:sz w:val="32"/>
          <w:szCs w:val="32"/>
          <w:lang w:val="en-US" w:eastAsia="zh-CN"/>
        </w:rPr>
        <w:t>四川省检察院补助的办案业务经费</w:t>
      </w:r>
      <w:r>
        <w:rPr>
          <w:rFonts w:hint="eastAsia" w:ascii="仿宋_GB2312" w:eastAsia="仿宋_GB2312"/>
          <w:sz w:val="32"/>
          <w:szCs w:val="32"/>
        </w:rPr>
        <w:t>。</w:t>
      </w:r>
      <w:r>
        <w:rPr>
          <w:rFonts w:ascii="仿宋_GB2312" w:eastAsia="仿宋_GB2312"/>
          <w:sz w:val="32"/>
          <w:szCs w:val="32"/>
        </w:rPr>
        <w:t xml:space="preserve"> </w:t>
      </w:r>
    </w:p>
    <w:p w14:paraId="49E4E74F">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eastAsia" w:ascii="Times New Roman" w:hAnsi="Times New Roman"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en-US" w:eastAsia="zh-CN" w:bidi="ar-SA"/>
        </w:rPr>
        <w:t>.</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382B33A9">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2"/>
          <w:sz w:val="32"/>
          <w:szCs w:val="32"/>
          <w:lang w:val="en-US" w:eastAsia="zh-CN" w:bidi="ar-SA"/>
        </w:rPr>
        <w:t>6.</w:t>
      </w:r>
      <w:r>
        <w:rPr>
          <w:rFonts w:hint="eastAsia" w:ascii="仿宋_GB2312" w:hAnsi="Times New Roman" w:eastAsia="仿宋_GB2312" w:cs="Times New Roman"/>
          <w:color w:val="auto"/>
          <w:kern w:val="0"/>
          <w:sz w:val="32"/>
          <w:szCs w:val="32"/>
          <w:lang w:val="en-US" w:eastAsia="zh-CN" w:bidi="ar"/>
        </w:rPr>
        <w:t>公共安全支出（类）检察（款）行政运行（项）：指</w:t>
      </w:r>
      <w:r>
        <w:rPr>
          <w:rFonts w:hint="eastAsia" w:ascii="仿宋_GB2312" w:eastAsia="仿宋_GB2312" w:cs="Times New Roman"/>
          <w:color w:val="auto"/>
          <w:kern w:val="0"/>
          <w:sz w:val="32"/>
          <w:szCs w:val="32"/>
          <w:lang w:val="en-US" w:eastAsia="zh-CN" w:bidi="ar"/>
        </w:rPr>
        <w:t>行政单位（包括实行公务员管理的事业单位）的基本支出</w:t>
      </w:r>
      <w:r>
        <w:rPr>
          <w:rFonts w:hint="eastAsia" w:ascii="仿宋_GB2312" w:hAnsi="Times New Roman" w:eastAsia="仿宋_GB2312" w:cs="Times New Roman"/>
          <w:color w:val="auto"/>
          <w:kern w:val="0"/>
          <w:sz w:val="32"/>
          <w:szCs w:val="32"/>
          <w:lang w:val="en-US" w:eastAsia="zh-CN" w:bidi="ar"/>
        </w:rPr>
        <w:t>。</w:t>
      </w:r>
    </w:p>
    <w:p w14:paraId="23DA0172">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2"/>
          <w:sz w:val="32"/>
          <w:szCs w:val="32"/>
          <w:lang w:val="en-US" w:eastAsia="zh-CN" w:bidi="ar-SA"/>
        </w:rPr>
        <w:t>7.</w:t>
      </w:r>
      <w:r>
        <w:rPr>
          <w:rFonts w:hint="eastAsia" w:ascii="仿宋_GB2312" w:hAnsi="Times New Roman" w:eastAsia="仿宋_GB2312" w:cs="Times New Roman"/>
          <w:color w:val="auto"/>
          <w:kern w:val="0"/>
          <w:sz w:val="32"/>
          <w:szCs w:val="32"/>
          <w:lang w:val="en-US" w:eastAsia="zh-CN" w:bidi="ar"/>
        </w:rPr>
        <w:t>公共安全支出（类）检察（款）一般行政管理事务（项）：指</w:t>
      </w:r>
      <w:r>
        <w:rPr>
          <w:rFonts w:hint="eastAsia" w:ascii="仿宋_GB2312" w:eastAsia="仿宋_GB2312" w:cs="Times New Roman"/>
          <w:color w:val="auto"/>
          <w:kern w:val="0"/>
          <w:sz w:val="32"/>
          <w:szCs w:val="32"/>
          <w:lang w:val="en-US" w:eastAsia="zh-CN" w:bidi="ar"/>
        </w:rPr>
        <w:t>行政单位（包括实行公务员管理的事业单位）未独立设置项级科目的其他项目支出</w:t>
      </w:r>
      <w:r>
        <w:rPr>
          <w:rFonts w:hint="eastAsia" w:ascii="仿宋_GB2312" w:hAnsi="Times New Roman" w:eastAsia="仿宋_GB2312" w:cs="Times New Roman"/>
          <w:color w:val="auto"/>
          <w:kern w:val="0"/>
          <w:sz w:val="32"/>
          <w:szCs w:val="32"/>
          <w:lang w:val="en-US" w:eastAsia="zh-CN" w:bidi="ar"/>
        </w:rPr>
        <w:t>。</w:t>
      </w:r>
    </w:p>
    <w:p w14:paraId="2969BA84">
      <w:pPr>
        <w:pStyle w:val="27"/>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Times New Roman"/>
          <w:color w:val="auto"/>
          <w:kern w:val="2"/>
          <w:sz w:val="32"/>
          <w:szCs w:val="32"/>
          <w:lang w:val="en-US" w:eastAsia="zh-CN" w:bidi="ar-SA"/>
        </w:rPr>
        <w:t>8.</w:t>
      </w:r>
      <w:r>
        <w:rPr>
          <w:rFonts w:hint="eastAsia" w:ascii="仿宋_GB2312" w:hAnsi="Times New Roman" w:eastAsia="仿宋_GB2312" w:cs="Times New Roman"/>
          <w:color w:val="auto"/>
          <w:kern w:val="0"/>
          <w:sz w:val="32"/>
          <w:szCs w:val="32"/>
          <w:lang w:val="en-US" w:eastAsia="zh-CN" w:bidi="ar"/>
        </w:rPr>
        <w:t>公共安全支出（类）检察（款）其他检察支出（项）：指</w:t>
      </w:r>
      <w:r>
        <w:rPr>
          <w:rFonts w:hint="eastAsia" w:ascii="仿宋_GB2312" w:eastAsia="仿宋_GB2312" w:cs="Times New Roman"/>
          <w:color w:val="auto"/>
          <w:kern w:val="0"/>
          <w:sz w:val="32"/>
          <w:szCs w:val="32"/>
          <w:lang w:val="en-US" w:eastAsia="zh-CN" w:bidi="ar"/>
        </w:rPr>
        <w:t>其他用于检察方面的支出。</w:t>
      </w:r>
    </w:p>
    <w:p w14:paraId="5E83E554">
      <w:pPr>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000000"/>
          <w:sz w:val="32"/>
          <w:szCs w:val="32"/>
        </w:rPr>
      </w:pPr>
      <w:r>
        <w:rPr>
          <w:rFonts w:hint="eastAsia" w:ascii="Times New Roman" w:hAnsi="Times New Roman" w:eastAsia="仿宋_GB2312" w:cs="Times New Roman"/>
          <w:color w:val="auto"/>
          <w:kern w:val="2"/>
          <w:sz w:val="32"/>
          <w:szCs w:val="32"/>
          <w:lang w:val="en-US" w:eastAsia="zh-CN" w:bidi="ar-SA"/>
        </w:rPr>
        <w:t>9.</w:t>
      </w:r>
      <w:r>
        <w:rPr>
          <w:rFonts w:hint="eastAsia" w:ascii="仿宋_GB2312" w:eastAsia="仿宋_GB2312"/>
          <w:color w:val="000000"/>
          <w:sz w:val="32"/>
          <w:szCs w:val="32"/>
          <w:lang w:eastAsia="zh-CN"/>
        </w:rPr>
        <w:t>社会保障和就业</w:t>
      </w:r>
      <w:r>
        <w:rPr>
          <w:rFonts w:hint="eastAsia" w:ascii="仿宋_GB2312" w:eastAsia="仿宋_GB2312"/>
          <w:color w:val="000000"/>
          <w:sz w:val="32"/>
          <w:szCs w:val="32"/>
          <w:lang w:val="en-US" w:eastAsia="zh-CN"/>
        </w:rPr>
        <w:t>支出</w:t>
      </w:r>
      <w:r>
        <w:rPr>
          <w:rFonts w:hint="eastAsia" w:ascii="仿宋_GB2312" w:eastAsia="仿宋_GB2312"/>
          <w:color w:val="000000"/>
          <w:sz w:val="32"/>
          <w:szCs w:val="32"/>
        </w:rPr>
        <w:t>（类）</w:t>
      </w:r>
      <w:r>
        <w:rPr>
          <w:rFonts w:hint="eastAsia" w:ascii="仿宋" w:hAnsi="仿宋" w:eastAsia="仿宋" w:cs="仿宋"/>
          <w:color w:val="000000"/>
          <w:sz w:val="32"/>
          <w:szCs w:val="32"/>
          <w:lang w:eastAsia="zh-CN"/>
        </w:rPr>
        <w:t>行政事业单位</w:t>
      </w:r>
      <w:r>
        <w:rPr>
          <w:rFonts w:hint="eastAsia" w:ascii="仿宋" w:hAnsi="仿宋" w:eastAsia="仿宋" w:cs="仿宋"/>
          <w:color w:val="000000"/>
          <w:sz w:val="32"/>
          <w:szCs w:val="32"/>
          <w:lang w:val="en-US" w:eastAsia="zh-CN"/>
        </w:rPr>
        <w:t>养老支出</w:t>
      </w:r>
      <w:r>
        <w:rPr>
          <w:rFonts w:hint="eastAsia" w:ascii="仿宋_GB2312" w:eastAsia="仿宋_GB2312"/>
          <w:color w:val="000000"/>
          <w:sz w:val="32"/>
          <w:szCs w:val="32"/>
        </w:rPr>
        <w:t>（款）</w:t>
      </w:r>
      <w:r>
        <w:rPr>
          <w:rFonts w:hint="eastAsia" w:ascii="仿宋_GB2312" w:eastAsia="仿宋_GB2312"/>
          <w:color w:val="000000"/>
          <w:sz w:val="32"/>
          <w:szCs w:val="32"/>
          <w:lang w:eastAsia="zh-CN"/>
        </w:rPr>
        <w:t>机关事业单位基本养老保险缴费支出</w:t>
      </w:r>
      <w:r>
        <w:rPr>
          <w:rFonts w:hint="eastAsia" w:ascii="仿宋_GB2312" w:eastAsia="仿宋_GB2312"/>
          <w:color w:val="000000"/>
          <w:sz w:val="32"/>
          <w:szCs w:val="32"/>
        </w:rPr>
        <w:t>（项）：指</w:t>
      </w:r>
      <w:r>
        <w:rPr>
          <w:rFonts w:hint="eastAsia" w:ascii="仿宋_GB2312" w:eastAsia="仿宋_GB2312"/>
          <w:color w:val="000000"/>
          <w:sz w:val="32"/>
          <w:szCs w:val="32"/>
          <w:lang w:eastAsia="zh-CN"/>
        </w:rPr>
        <w:t>由单位缴纳的基本养老保险费支出</w:t>
      </w:r>
      <w:r>
        <w:rPr>
          <w:rFonts w:hint="eastAsia" w:ascii="仿宋_GB2312" w:eastAsia="仿宋_GB2312"/>
          <w:color w:val="000000"/>
          <w:sz w:val="32"/>
          <w:szCs w:val="32"/>
        </w:rPr>
        <w:t>。</w:t>
      </w:r>
    </w:p>
    <w:p w14:paraId="3CEECD41">
      <w:pPr>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Times New Roman" w:hAnsi="Times New Roman" w:eastAsia="仿宋_GB2312" w:cs="Times New Roman"/>
          <w:color w:val="auto"/>
          <w:kern w:val="2"/>
          <w:sz w:val="32"/>
          <w:szCs w:val="32"/>
          <w:lang w:val="en-US" w:eastAsia="zh-CN" w:bidi="ar-SA"/>
        </w:rPr>
        <w:t>10.</w:t>
      </w:r>
      <w:r>
        <w:rPr>
          <w:rFonts w:hint="eastAsia" w:ascii="仿宋_GB2312" w:eastAsia="仿宋_GB2312"/>
          <w:color w:val="000000"/>
          <w:sz w:val="32"/>
          <w:szCs w:val="32"/>
        </w:rPr>
        <w:t>社会保</w:t>
      </w:r>
      <w:r>
        <w:rPr>
          <w:rFonts w:hint="eastAsia" w:ascii="仿宋_GB2312" w:hAnsi="Times New Roman" w:eastAsia="仿宋_GB2312" w:cs="Times New Roman"/>
          <w:color w:val="000000"/>
          <w:sz w:val="32"/>
          <w:szCs w:val="32"/>
          <w:lang w:eastAsia="zh-CN"/>
        </w:rPr>
        <w:t>障和就业</w:t>
      </w:r>
      <w:r>
        <w:rPr>
          <w:rFonts w:hint="eastAsia" w:ascii="仿宋_GB2312" w:hAnsi="Times New Roman" w:eastAsia="仿宋_GB2312" w:cs="Times New Roman"/>
          <w:color w:val="000000"/>
          <w:sz w:val="32"/>
          <w:szCs w:val="32"/>
          <w:lang w:val="en-US" w:eastAsia="zh-CN"/>
        </w:rPr>
        <w:t>支出</w:t>
      </w:r>
      <w:r>
        <w:rPr>
          <w:rFonts w:hint="eastAsia" w:ascii="仿宋_GB2312" w:hAnsi="Times New Roman" w:eastAsia="仿宋_GB2312" w:cs="Times New Roman"/>
          <w:color w:val="000000"/>
          <w:sz w:val="32"/>
          <w:szCs w:val="32"/>
          <w:lang w:eastAsia="zh-CN"/>
        </w:rPr>
        <w:t>（类）</w:t>
      </w:r>
      <w:r>
        <w:rPr>
          <w:rFonts w:hint="eastAsia" w:ascii="仿宋" w:hAnsi="仿宋" w:eastAsia="仿宋" w:cs="仿宋"/>
          <w:color w:val="000000"/>
          <w:sz w:val="32"/>
          <w:szCs w:val="32"/>
          <w:lang w:eastAsia="zh-CN"/>
        </w:rPr>
        <w:t>行政事业单位</w:t>
      </w:r>
      <w:r>
        <w:rPr>
          <w:rFonts w:hint="eastAsia" w:ascii="仿宋" w:hAnsi="仿宋" w:eastAsia="仿宋" w:cs="仿宋"/>
          <w:color w:val="000000"/>
          <w:sz w:val="32"/>
          <w:szCs w:val="32"/>
          <w:lang w:val="en-US" w:eastAsia="zh-CN"/>
        </w:rPr>
        <w:t>养老支出</w:t>
      </w:r>
      <w:r>
        <w:rPr>
          <w:rFonts w:hint="eastAsia" w:ascii="仿宋_GB2312" w:hAnsi="Times New Roman" w:eastAsia="仿宋_GB2312" w:cs="Times New Roman"/>
          <w:color w:val="000000"/>
          <w:sz w:val="32"/>
          <w:szCs w:val="32"/>
          <w:lang w:eastAsia="zh-CN"/>
        </w:rPr>
        <w:t>（款）</w:t>
      </w:r>
      <w:r>
        <w:rPr>
          <w:rFonts w:hint="eastAsia" w:ascii="仿宋_GB2312" w:hAnsi="Times New Roman" w:eastAsia="仿宋_GB2312" w:cs="Times New Roman"/>
          <w:color w:val="000000"/>
          <w:sz w:val="32"/>
          <w:szCs w:val="32"/>
          <w:lang w:val="en-US" w:eastAsia="zh-CN"/>
        </w:rPr>
        <w:t>机关事业单位职业年金缴费支出</w:t>
      </w:r>
      <w:r>
        <w:rPr>
          <w:rFonts w:hint="eastAsia" w:ascii="仿宋_GB2312" w:hAnsi="Times New Roman" w:eastAsia="仿宋_GB2312" w:cs="Times New Roman"/>
          <w:color w:val="000000"/>
          <w:sz w:val="32"/>
          <w:szCs w:val="32"/>
          <w:lang w:eastAsia="zh-CN"/>
        </w:rPr>
        <w:t>（项）：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机关事业单位实施养老保险制度由单位实际缴纳的职业年金</w:t>
      </w:r>
      <w:r>
        <w:rPr>
          <w:rFonts w:hint="eastAsia" w:ascii="仿宋_GB2312" w:eastAsia="仿宋_GB2312"/>
          <w:color w:val="000000"/>
          <w:sz w:val="32"/>
          <w:szCs w:val="32"/>
        </w:rPr>
        <w:t>。</w:t>
      </w:r>
    </w:p>
    <w:p w14:paraId="067B2D0D">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11.</w:t>
      </w:r>
      <w:r>
        <w:rPr>
          <w:rFonts w:hint="eastAsia" w:ascii="仿宋_GB2312" w:hAnsi="Times New Roman" w:eastAsia="仿宋_GB2312" w:cs="Times New Roman"/>
          <w:color w:val="000000"/>
          <w:sz w:val="32"/>
          <w:szCs w:val="32"/>
          <w:lang w:eastAsia="zh-CN"/>
        </w:rPr>
        <w:t>卫生健康支出</w:t>
      </w:r>
      <w:r>
        <w:rPr>
          <w:rFonts w:hint="eastAsia" w:ascii="仿宋_GB2312" w:hAnsi="Times New Roman" w:eastAsia="仿宋_GB2312" w:cs="Times New Roman"/>
          <w:color w:val="000000"/>
          <w:sz w:val="32"/>
          <w:szCs w:val="32"/>
          <w:lang w:val="en-US" w:eastAsia="zh-CN"/>
        </w:rPr>
        <w:t>（类）行政事业单位医疗（</w:t>
      </w:r>
      <w:r>
        <w:rPr>
          <w:rFonts w:hint="eastAsia" w:ascii="仿宋_GB2312" w:hAnsi="Times New Roman" w:eastAsia="仿宋_GB2312" w:cs="Times New Roman"/>
          <w:color w:val="000000"/>
          <w:sz w:val="32"/>
          <w:szCs w:val="32"/>
          <w:lang w:eastAsia="zh-CN"/>
        </w:rPr>
        <w:t>款）</w:t>
      </w:r>
      <w:r>
        <w:rPr>
          <w:rFonts w:hint="eastAsia" w:ascii="仿宋_GB2312" w:hAnsi="Times New Roman" w:eastAsia="仿宋_GB2312" w:cs="Times New Roman"/>
          <w:color w:val="000000"/>
          <w:sz w:val="32"/>
          <w:szCs w:val="32"/>
          <w:lang w:val="en-US" w:eastAsia="zh-CN"/>
        </w:rPr>
        <w:t>行政单位医疗</w:t>
      </w:r>
      <w:r>
        <w:rPr>
          <w:rFonts w:hint="eastAsia" w:ascii="仿宋_GB2312" w:hAnsi="Times New Roman" w:eastAsia="仿宋_GB2312" w:cs="Times New Roman"/>
          <w:color w:val="000000"/>
          <w:sz w:val="32"/>
          <w:szCs w:val="32"/>
          <w:lang w:eastAsia="zh-CN"/>
        </w:rPr>
        <w:t>（项）：指财政部门集中安排的行政单位基本医疗保险缴费经费。</w:t>
      </w:r>
    </w:p>
    <w:p w14:paraId="30E03735">
      <w:pPr>
        <w:pStyle w:val="38"/>
        <w:pageBreakBefore w:val="0"/>
        <w:widowControl w:val="0"/>
        <w:kinsoku/>
        <w:wordWrap/>
        <w:overflowPunct/>
        <w:topLinePunct w:val="0"/>
        <w:bidi w:val="0"/>
        <w:snapToGrid/>
        <w:spacing w:line="560" w:lineRule="exact"/>
        <w:textAlignment w:val="auto"/>
        <w:rPr>
          <w:rFonts w:hint="eastAsia"/>
          <w:lang w:eastAsia="zh-CN"/>
        </w:rPr>
      </w:pPr>
      <w:r>
        <w:rPr>
          <w:rFonts w:hint="eastAsia" w:ascii="Times New Roman" w:hAnsi="Times New Roman" w:eastAsia="仿宋_GB2312" w:cs="Times New Roman"/>
          <w:color w:val="auto"/>
          <w:kern w:val="2"/>
          <w:sz w:val="32"/>
          <w:szCs w:val="32"/>
          <w:lang w:val="en-US" w:eastAsia="zh-CN" w:bidi="ar-SA"/>
        </w:rPr>
        <w:t>12.</w:t>
      </w:r>
      <w:r>
        <w:rPr>
          <w:rFonts w:hint="eastAsia" w:ascii="仿宋_GB2312" w:hAnsi="Times New Roman" w:eastAsia="仿宋_GB2312" w:cs="Times New Roman"/>
          <w:color w:val="000000"/>
          <w:sz w:val="32"/>
          <w:szCs w:val="32"/>
          <w:lang w:eastAsia="zh-CN"/>
        </w:rPr>
        <w:t>卫生健康支出</w:t>
      </w:r>
      <w:r>
        <w:rPr>
          <w:rFonts w:hint="eastAsia" w:ascii="仿宋_GB2312" w:hAnsi="Times New Roman" w:eastAsia="仿宋_GB2312" w:cs="Times New Roman"/>
          <w:color w:val="000000"/>
          <w:sz w:val="32"/>
          <w:szCs w:val="32"/>
          <w:lang w:val="en-US" w:eastAsia="zh-CN"/>
        </w:rPr>
        <w:t>（类）行政事业单位医疗（</w:t>
      </w:r>
      <w:r>
        <w:rPr>
          <w:rFonts w:hint="eastAsia" w:ascii="仿宋_GB2312" w:hAnsi="Times New Roman" w:eastAsia="仿宋_GB2312" w:cs="Times New Roman"/>
          <w:color w:val="000000"/>
          <w:sz w:val="32"/>
          <w:szCs w:val="32"/>
          <w:lang w:eastAsia="zh-CN"/>
        </w:rPr>
        <w:t>款）</w:t>
      </w:r>
      <w:r>
        <w:rPr>
          <w:rFonts w:hint="eastAsia" w:ascii="仿宋_GB2312" w:hAnsi="Times New Roman" w:eastAsia="仿宋_GB2312" w:cs="Times New Roman"/>
          <w:color w:val="000000"/>
          <w:sz w:val="32"/>
          <w:szCs w:val="32"/>
          <w:lang w:val="en-US" w:eastAsia="zh-CN"/>
        </w:rPr>
        <w:t>公务员医疗补助</w:t>
      </w:r>
      <w:r>
        <w:rPr>
          <w:rFonts w:hint="eastAsia" w:ascii="仿宋_GB2312" w:hAnsi="Times New Roman" w:eastAsia="仿宋_GB2312" w:cs="Times New Roman"/>
          <w:color w:val="000000"/>
          <w:sz w:val="32"/>
          <w:szCs w:val="32"/>
          <w:lang w:eastAsia="zh-CN"/>
        </w:rPr>
        <w:t>（项）：指财政部门集中安排的行政单位</w:t>
      </w:r>
      <w:r>
        <w:rPr>
          <w:rFonts w:hint="eastAsia" w:ascii="仿宋_GB2312" w:hAnsi="Times New Roman" w:eastAsia="仿宋_GB2312" w:cs="Times New Roman"/>
          <w:color w:val="000000"/>
          <w:sz w:val="32"/>
          <w:szCs w:val="32"/>
          <w:lang w:val="en-US" w:eastAsia="zh-CN"/>
        </w:rPr>
        <w:t>公务员医疗补助</w:t>
      </w:r>
      <w:r>
        <w:rPr>
          <w:rFonts w:hint="eastAsia" w:ascii="仿宋_GB2312" w:hAnsi="Times New Roman" w:eastAsia="仿宋_GB2312" w:cs="Times New Roman"/>
          <w:color w:val="000000"/>
          <w:sz w:val="32"/>
          <w:szCs w:val="32"/>
          <w:lang w:eastAsia="zh-CN"/>
        </w:rPr>
        <w:t>保险缴费经费。</w:t>
      </w:r>
    </w:p>
    <w:p w14:paraId="639D23C5">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13.</w:t>
      </w:r>
      <w:r>
        <w:rPr>
          <w:rFonts w:hint="eastAsia" w:ascii="仿宋_GB2312" w:hAnsi="Times New Roman" w:eastAsia="仿宋_GB2312" w:cs="Times New Roman"/>
          <w:color w:val="000000"/>
          <w:sz w:val="32"/>
          <w:szCs w:val="32"/>
          <w:lang w:val="en-US" w:eastAsia="zh-CN"/>
        </w:rPr>
        <w:t>住房保障支出（类）住房改革支出（款）住房公积金（项）：指行政事业单位</w:t>
      </w:r>
      <w:r>
        <w:rPr>
          <w:rFonts w:hint="eastAsia" w:ascii="仿宋_GB2312" w:hAnsi="Times New Roman" w:eastAsia="仿宋_GB2312" w:cs="Times New Roman"/>
          <w:color w:val="000000"/>
          <w:sz w:val="32"/>
          <w:szCs w:val="32"/>
          <w:lang w:eastAsia="zh-CN"/>
        </w:rPr>
        <w:t>安装工资比例为职工缴纳的住房公积金。</w:t>
      </w:r>
    </w:p>
    <w:p w14:paraId="7A1E8E9B">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14.</w:t>
      </w:r>
      <w:r>
        <w:rPr>
          <w:rFonts w:hint="eastAsia" w:ascii="仿宋_GB2312" w:hAnsi="Times New Roman" w:eastAsia="仿宋_GB2312" w:cs="Times New Roman"/>
          <w:color w:val="000000"/>
          <w:sz w:val="32"/>
          <w:szCs w:val="32"/>
          <w:lang w:eastAsia="zh-CN"/>
        </w:rPr>
        <w:t>基本支出：指为保障机构正常运转、完成日常工作任务而发生的人员支出和公用支出。</w:t>
      </w:r>
    </w:p>
    <w:p w14:paraId="5BB3A994">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15.</w:t>
      </w:r>
      <w:r>
        <w:rPr>
          <w:rFonts w:hint="eastAsia" w:ascii="仿宋_GB2312" w:hAnsi="Times New Roman" w:eastAsia="仿宋_GB2312" w:cs="Times New Roman"/>
          <w:color w:val="000000"/>
          <w:sz w:val="32"/>
          <w:szCs w:val="32"/>
          <w:lang w:eastAsia="zh-CN"/>
        </w:rPr>
        <w:t>项目支出：指在基本支出之外为完成特定行政任务和事业发展目标所发生的支出。</w:t>
      </w:r>
    </w:p>
    <w:p w14:paraId="2EAF7E64">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16.</w:t>
      </w:r>
      <w:r>
        <w:rPr>
          <w:rFonts w:hint="eastAsia" w:ascii="仿宋_GB2312" w:hAnsi="Times New Roman" w:eastAsia="仿宋_GB2312" w:cs="Times New Roman"/>
          <w:color w:val="000000"/>
          <w:sz w:val="32"/>
          <w:szCs w:val="32"/>
          <w:lang w:eastAsia="zh-CN"/>
        </w:rPr>
        <w:t>经营支出：指事业单位在专业业务活动及其辅助活动之外开展非独立核算经营活动发生的支出。</w:t>
      </w:r>
    </w:p>
    <w:p w14:paraId="7D489674">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17.</w:t>
      </w:r>
      <w:r>
        <w:rPr>
          <w:rFonts w:hint="eastAsia" w:ascii="仿宋_GB2312" w:hAnsi="Times New Roman" w:eastAsia="仿宋_GB2312" w:cs="Times New Roman"/>
          <w:color w:val="000000"/>
          <w:sz w:val="32"/>
          <w:szCs w:val="32"/>
          <w:lang w:eastAsia="zh-CN"/>
        </w:rPr>
        <w:t>“三公”经费：指部门用财政拨款安排的因公出国（境）费、公务用车购置及运行费和公务接待费。其中，因公出国（境）费反映单位公务出国（境）的国际旅费、国外城市间交通费、住宿费、伙食费、培训费、</w:t>
      </w:r>
      <w:r>
        <w:rPr>
          <w:rFonts w:hint="eastAsia" w:ascii="仿宋_GB2312" w:hAnsi="Times New Roman" w:eastAsia="仿宋_GB2312" w:cs="Times New Roman"/>
          <w:color w:val="000000"/>
          <w:sz w:val="32"/>
          <w:szCs w:val="32"/>
          <w:lang w:val="en-US" w:eastAsia="zh-CN"/>
        </w:rPr>
        <w:t>会议费、</w:t>
      </w:r>
      <w:r>
        <w:rPr>
          <w:rFonts w:hint="eastAsia" w:ascii="仿宋_GB2312" w:hAnsi="Times New Roman" w:eastAsia="仿宋_GB2312" w:cs="Times New Roman"/>
          <w:color w:val="000000"/>
          <w:sz w:val="32"/>
          <w:szCs w:val="32"/>
          <w:lang w:eastAsia="zh-CN"/>
        </w:rPr>
        <w:t>公杂费等支出；公务用车购置及运行费反映单位公务用车车辆购置支出（含车辆购置税）及租用费、燃料费、维修费、过路过桥费、保险费等支出；公务接待费反映单位按规定开支的各类公务接待（含外宾接待）支出。</w:t>
      </w:r>
    </w:p>
    <w:p w14:paraId="5F0FF850">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18.</w:t>
      </w:r>
      <w:r>
        <w:rPr>
          <w:rFonts w:hint="eastAsia" w:ascii="仿宋_GB2312" w:hAnsi="Times New Roman" w:eastAsia="仿宋_GB2312" w:cs="Times New Roman"/>
          <w:color w:val="000000"/>
          <w:sz w:val="32"/>
          <w:szCs w:val="32"/>
          <w:lang w:eastAsia="zh-CN"/>
        </w:rPr>
        <w:t>机关运行经费：为保障行政单位（含参照公务员法管理的事业单位）运行用于购买货物和服务的各项资金，包括办公及印刷费、</w:t>
      </w:r>
      <w:r>
        <w:rPr>
          <w:rFonts w:hint="eastAsia" w:ascii="仿宋_GB2312" w:hAnsi="Times New Roman" w:eastAsia="仿宋_GB2312" w:cs="Times New Roman"/>
          <w:color w:val="000000"/>
          <w:sz w:val="32"/>
          <w:szCs w:val="32"/>
          <w:lang w:val="en-US" w:eastAsia="zh-CN"/>
        </w:rPr>
        <w:t>手续费、</w:t>
      </w:r>
      <w:r>
        <w:rPr>
          <w:rFonts w:hint="eastAsia" w:ascii="仿宋_GB2312" w:hAnsi="Times New Roman" w:eastAsia="仿宋_GB2312" w:cs="Times New Roman"/>
          <w:color w:val="000000"/>
          <w:sz w:val="32"/>
          <w:szCs w:val="32"/>
          <w:lang w:eastAsia="zh-CN"/>
        </w:rPr>
        <w:t>邮电费、差旅费、会议费、</w:t>
      </w:r>
      <w:r>
        <w:rPr>
          <w:rFonts w:hint="eastAsia" w:ascii="仿宋_GB2312" w:hAnsi="Times New Roman" w:eastAsia="仿宋_GB2312" w:cs="Times New Roman"/>
          <w:color w:val="000000"/>
          <w:sz w:val="32"/>
          <w:szCs w:val="32"/>
          <w:lang w:val="en-US" w:eastAsia="zh-CN"/>
        </w:rPr>
        <w:t>培训费、</w:t>
      </w:r>
      <w:r>
        <w:rPr>
          <w:rFonts w:hint="eastAsia" w:ascii="仿宋_GB2312" w:hAnsi="Times New Roman" w:eastAsia="仿宋_GB2312" w:cs="Times New Roman"/>
          <w:color w:val="000000"/>
          <w:sz w:val="32"/>
          <w:szCs w:val="32"/>
          <w:lang w:eastAsia="zh-CN"/>
        </w:rPr>
        <w:t>福利费、日常维修（</w:t>
      </w:r>
      <w:r>
        <w:rPr>
          <w:rFonts w:hint="eastAsia" w:ascii="仿宋_GB2312" w:hAnsi="Times New Roman" w:eastAsia="仿宋_GB2312" w:cs="Times New Roman"/>
          <w:color w:val="000000"/>
          <w:sz w:val="32"/>
          <w:szCs w:val="32"/>
          <w:lang w:val="en-US" w:eastAsia="zh-CN"/>
        </w:rPr>
        <w:t>护）</w:t>
      </w:r>
      <w:r>
        <w:rPr>
          <w:rFonts w:hint="eastAsia" w:ascii="仿宋_GB2312" w:hAnsi="Times New Roman" w:eastAsia="仿宋_GB2312" w:cs="Times New Roman"/>
          <w:color w:val="000000"/>
          <w:sz w:val="32"/>
          <w:szCs w:val="32"/>
          <w:lang w:eastAsia="zh-CN"/>
        </w:rPr>
        <w:t>）费、</w:t>
      </w:r>
      <w:r>
        <w:rPr>
          <w:rFonts w:hint="eastAsia" w:ascii="仿宋_GB2312" w:hAnsi="Times New Roman" w:eastAsia="仿宋_GB2312" w:cs="Times New Roman"/>
          <w:color w:val="000000"/>
          <w:sz w:val="32"/>
          <w:szCs w:val="32"/>
          <w:lang w:val="en-US" w:eastAsia="zh-CN"/>
        </w:rPr>
        <w:t>公务接待费、</w:t>
      </w:r>
      <w:r>
        <w:rPr>
          <w:rFonts w:hint="eastAsia" w:ascii="仿宋_GB2312" w:hAnsi="Times New Roman" w:eastAsia="仿宋_GB2312" w:cs="Times New Roman"/>
          <w:color w:val="000000"/>
          <w:sz w:val="32"/>
          <w:szCs w:val="32"/>
          <w:lang w:eastAsia="zh-CN"/>
        </w:rPr>
        <w:t>办公用房水电费、办公用房取暖费、办公用房物业管理费、公务用车运行维护费以及其他</w:t>
      </w:r>
      <w:r>
        <w:rPr>
          <w:rFonts w:hint="eastAsia" w:ascii="仿宋_GB2312" w:hAnsi="Times New Roman" w:eastAsia="仿宋_GB2312" w:cs="Times New Roman"/>
          <w:color w:val="000000"/>
          <w:sz w:val="32"/>
          <w:szCs w:val="32"/>
          <w:lang w:val="en-US" w:eastAsia="zh-CN"/>
        </w:rPr>
        <w:t>商品和服务支出</w:t>
      </w:r>
      <w:r>
        <w:rPr>
          <w:rFonts w:hint="eastAsia" w:ascii="仿宋_GB2312" w:hAnsi="Times New Roman" w:eastAsia="仿宋_GB2312" w:cs="Times New Roman"/>
          <w:color w:val="000000"/>
          <w:sz w:val="32"/>
          <w:szCs w:val="32"/>
          <w:lang w:eastAsia="zh-CN"/>
        </w:rPr>
        <w:t>。</w:t>
      </w:r>
    </w:p>
    <w:p w14:paraId="0F1F153E">
      <w:pPr>
        <w:spacing w:line="600" w:lineRule="exact"/>
        <w:jc w:val="center"/>
        <w:rPr>
          <w:rFonts w:hint="eastAsia" w:eastAsia="仿宋_GB2312" w:cs="仿宋_GB2312"/>
          <w:sz w:val="32"/>
          <w:szCs w:val="32"/>
        </w:rPr>
      </w:pPr>
      <w:bookmarkStart w:id="53" w:name="_Toc15377226"/>
      <w:r>
        <w:rPr>
          <w:rFonts w:hint="eastAsia" w:eastAsia="仿宋_GB2312" w:cs="仿宋_GB2312"/>
          <w:sz w:val="32"/>
          <w:szCs w:val="32"/>
        </w:rPr>
        <w:br w:type="page"/>
      </w:r>
      <w:bookmarkStart w:id="54" w:name="_Toc15396614"/>
    </w:p>
    <w:p w14:paraId="4DD0B2FC">
      <w:pPr>
        <w:keepNext w:val="0"/>
        <w:keepLines w:val="0"/>
        <w:pageBreakBefore w:val="0"/>
        <w:kinsoku/>
        <w:wordWrap/>
        <w:overflowPunct/>
        <w:topLinePunct w:val="0"/>
        <w:autoSpaceDE/>
        <w:autoSpaceDN/>
        <w:bidi w:val="0"/>
        <w:spacing w:line="560" w:lineRule="exact"/>
        <w:jc w:val="center"/>
        <w:textAlignment w:val="auto"/>
        <w:rPr>
          <w:rStyle w:val="29"/>
          <w:rFonts w:eastAsia="黑体"/>
          <w:b w:val="0"/>
        </w:rPr>
      </w:pPr>
      <w:r>
        <w:rPr>
          <w:rFonts w:hint="eastAsia" w:eastAsia="黑体"/>
          <w:sz w:val="44"/>
          <w:szCs w:val="44"/>
        </w:rPr>
        <w:t>第四部分  附件</w:t>
      </w:r>
      <w:bookmarkEnd w:id="54"/>
    </w:p>
    <w:p w14:paraId="2B5D80D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contextualSpacing/>
        <w:jc w:val="left"/>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附件1：</w:t>
      </w:r>
    </w:p>
    <w:p w14:paraId="57CAF2B1">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阿坝州人民检察院</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0EA847AF">
      <w:pPr>
        <w:keepNext w:val="0"/>
        <w:keepLines w:val="0"/>
        <w:pageBreakBefore w:val="0"/>
        <w:widowControl/>
        <w:kinsoku/>
        <w:wordWrap/>
        <w:overflowPunct/>
        <w:topLinePunct w:val="0"/>
        <w:autoSpaceDE/>
        <w:autoSpaceDN/>
        <w:bidi w:val="0"/>
        <w:spacing w:line="560" w:lineRule="exact"/>
        <w:contextualSpacing/>
        <w:jc w:val="center"/>
        <w:textAlignment w:val="auto"/>
        <w:rPr>
          <w:rFonts w:eastAsia="方正小标宋简体"/>
          <w:bCs/>
          <w:sz w:val="44"/>
          <w:szCs w:val="44"/>
          <w:shd w:val="clear" w:color="auto" w:fill="FFFFFF"/>
        </w:rPr>
      </w:pPr>
    </w:p>
    <w:p w14:paraId="5E3D66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黑体" w:hAnsi="黑体" w:eastAsia="黑体" w:cs="黑体"/>
          <w:b w:val="0"/>
          <w:bCs w:val="0"/>
          <w:color w:val="000000"/>
          <w:kern w:val="0"/>
          <w:sz w:val="32"/>
          <w:szCs w:val="32"/>
          <w:highlight w:val="none"/>
          <w:shd w:val="clear" w:color="auto" w:fill="FFFFFF"/>
          <w:lang w:val="zh-CN"/>
        </w:rPr>
      </w:pPr>
      <w:bookmarkStart w:id="55" w:name="_Hlk110546638"/>
      <w:r>
        <w:rPr>
          <w:rFonts w:hint="eastAsia" w:ascii="黑体" w:hAnsi="黑体" w:eastAsia="黑体" w:cs="黑体"/>
          <w:b w:val="0"/>
          <w:bCs w:val="0"/>
          <w:color w:val="000000"/>
          <w:kern w:val="0"/>
          <w:sz w:val="32"/>
          <w:szCs w:val="32"/>
          <w:highlight w:val="none"/>
          <w:shd w:val="clear" w:color="auto" w:fill="FFFFFF"/>
          <w:lang w:val="zh-CN"/>
        </w:rPr>
        <w:t>一、部门基本情况</w:t>
      </w:r>
    </w:p>
    <w:p w14:paraId="6551BFA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（一）机构组成。</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阿坝州人民检察院</w:t>
      </w:r>
      <w:r>
        <w:rPr>
          <w:rFonts w:hint="eastAsia" w:ascii="仿宋_GB2312" w:hAnsi="仿宋_GB2312" w:eastAsia="仿宋_GB2312" w:cs="仿宋_GB2312"/>
          <w:b w:val="0"/>
          <w:bCs w:val="0"/>
          <w:color w:val="000000"/>
          <w:kern w:val="0"/>
          <w:sz w:val="32"/>
          <w:szCs w:val="32"/>
          <w:highlight w:val="none"/>
          <w:shd w:val="clear" w:color="auto" w:fill="FFFFFF"/>
          <w:lang w:val="zh-CN"/>
        </w:rPr>
        <w:t>内设机构</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16</w:t>
      </w:r>
      <w:r>
        <w:rPr>
          <w:rFonts w:hint="eastAsia" w:ascii="仿宋_GB2312" w:hAnsi="仿宋_GB2312" w:eastAsia="仿宋_GB2312" w:cs="仿宋_GB2312"/>
          <w:b w:val="0"/>
          <w:bCs w:val="0"/>
          <w:color w:val="000000"/>
          <w:kern w:val="0"/>
          <w:sz w:val="32"/>
          <w:szCs w:val="32"/>
          <w:highlight w:val="none"/>
          <w:shd w:val="clear" w:color="auto" w:fill="FFFFFF"/>
          <w:lang w:val="zh-CN"/>
        </w:rPr>
        <w:t>个，具体是：办公室、政治</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部、</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第一检察部、第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二</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三</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四</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五</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六</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七</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八</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计划财务装备</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部、</w:t>
      </w:r>
      <w:r>
        <w:rPr>
          <w:rFonts w:hint="eastAsia" w:ascii="仿宋_GB2312" w:hAnsi="仿宋_GB2312" w:eastAsia="仿宋_GB2312" w:cs="仿宋_GB2312"/>
          <w:b w:val="0"/>
          <w:bCs w:val="0"/>
          <w:color w:val="000000"/>
          <w:kern w:val="0"/>
          <w:sz w:val="32"/>
          <w:szCs w:val="32"/>
          <w:highlight w:val="none"/>
          <w:shd w:val="clear" w:color="auto" w:fill="FFFFFF"/>
          <w:lang w:val="zh-CN"/>
        </w:rPr>
        <w:t>法律政策研究室、</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检务督察部、检察技术信息部、机关党委</w:t>
      </w:r>
      <w:r>
        <w:rPr>
          <w:rFonts w:hint="eastAsia" w:ascii="仿宋_GB2312" w:hAnsi="仿宋_GB2312" w:eastAsia="仿宋_GB2312" w:cs="仿宋_GB2312"/>
          <w:b w:val="0"/>
          <w:bCs w:val="0"/>
          <w:color w:val="000000"/>
          <w:kern w:val="0"/>
          <w:sz w:val="32"/>
          <w:szCs w:val="32"/>
          <w:highlight w:val="none"/>
          <w:shd w:val="clear" w:color="auto" w:fill="FFFFFF"/>
          <w:lang w:val="zh-CN"/>
        </w:rPr>
        <w:t>、案件管理办公室。</w:t>
      </w:r>
    </w:p>
    <w:p w14:paraId="579A00A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（二）机构职能。</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阿坝州人民检察院是国家的法律监督机关。领导全州各县（市）人民检察院的工作，对阿坝州人民代表大会及其常务委员会负责并报告工作，根据我国宪法规定，人民检察院主要职责是：依法履行监督职能，保证国家法律的统一和正确实施。</w:t>
      </w:r>
    </w:p>
    <w:p w14:paraId="0D29806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根据州委、州政府关于</w:t>
      </w:r>
      <w:r>
        <w:rPr>
          <w:rFonts w:hint="default"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年全州工作的总体部署，</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 xml:space="preserve">年主要工作是: </w:t>
      </w:r>
      <w:r>
        <w:rPr>
          <w:rFonts w:hint="eastAsia" w:ascii="Times New Roman" w:hAnsi="Times New Roman" w:eastAsia="仿宋_GB2312" w:cs="Times New Roman"/>
          <w:color w:val="auto"/>
          <w:kern w:val="2"/>
          <w:sz w:val="32"/>
          <w:szCs w:val="32"/>
          <w:lang w:val="en-US" w:eastAsia="zh-CN" w:bidi="ar-SA"/>
        </w:rPr>
        <w:t>1.</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负责全州人民检察院宏观管理、指挥和协调。</w:t>
      </w:r>
      <w:r>
        <w:rPr>
          <w:rFonts w:hint="eastAsia" w:ascii="Times New Roman" w:hAnsi="Times New Roman" w:eastAsia="仿宋_GB2312" w:cs="Times New Roman"/>
          <w:color w:val="auto"/>
          <w:kern w:val="2"/>
          <w:sz w:val="32"/>
          <w:szCs w:val="32"/>
          <w:lang w:val="en-US" w:eastAsia="zh-CN" w:bidi="ar-SA"/>
        </w:rPr>
        <w:t>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负责依法查处办理国家司法执法人员贪污贿赂犯罪和国家司法执法工作人员的渎职犯罪的案件。</w:t>
      </w:r>
      <w:r>
        <w:rPr>
          <w:rFonts w:hint="eastAsia" w:ascii="Times New Roman" w:hAnsi="Times New Roman" w:eastAsia="仿宋_GB2312" w:cs="Times New Roman"/>
          <w:color w:val="auto"/>
          <w:kern w:val="2"/>
          <w:sz w:val="32"/>
          <w:szCs w:val="32"/>
          <w:lang w:val="en-US" w:eastAsia="zh-CN" w:bidi="ar-SA"/>
        </w:rPr>
        <w:t>3.</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领导全州各县（市）检察院依法对刑事诉讼、民事审判和行政诉讼实行监督。</w:t>
      </w:r>
      <w:r>
        <w:rPr>
          <w:rFonts w:hint="eastAsia" w:ascii="Times New Roman" w:hAnsi="Times New Roman" w:eastAsia="仿宋_GB2312" w:cs="Times New Roman"/>
          <w:color w:val="auto"/>
          <w:kern w:val="2"/>
          <w:sz w:val="32"/>
          <w:szCs w:val="32"/>
          <w:lang w:val="en-US" w:eastAsia="zh-CN" w:bidi="ar-SA"/>
        </w:rPr>
        <w:t>4.</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督促、指导、协调全州检察机关侦破、查处、办理各类刑事案件。</w:t>
      </w:r>
      <w:r>
        <w:rPr>
          <w:rFonts w:hint="eastAsia" w:ascii="Times New Roman" w:hAnsi="Times New Roman" w:eastAsia="仿宋_GB2312" w:cs="Times New Roman"/>
          <w:color w:val="auto"/>
          <w:kern w:val="2"/>
          <w:sz w:val="32"/>
          <w:szCs w:val="32"/>
          <w:lang w:val="en-US" w:eastAsia="zh-CN" w:bidi="ar-SA"/>
        </w:rPr>
        <w:t>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负责全州人民检察院制度建设，指导全州人民检察院执法工作，对全州人民检察院执法质量进行监督、检查、考评。</w:t>
      </w:r>
      <w:r>
        <w:rPr>
          <w:rFonts w:hint="eastAsia" w:ascii="Times New Roman" w:hAnsi="Times New Roman" w:eastAsia="仿宋_GB2312" w:cs="Times New Roman"/>
          <w:color w:val="auto"/>
          <w:kern w:val="2"/>
          <w:sz w:val="32"/>
          <w:szCs w:val="32"/>
          <w:lang w:val="en-US" w:eastAsia="zh-CN" w:bidi="ar-SA"/>
        </w:rPr>
        <w:t>6.</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负责编制全州人民检察院发展建设规划，组织指导全州人民检察院装备、基础设施建设；承担装备专用物资的申请、购置、调拨、发放和管理工作。</w:t>
      </w:r>
      <w:r>
        <w:rPr>
          <w:rFonts w:hint="eastAsia" w:ascii="Times New Roman" w:hAnsi="Times New Roman" w:eastAsia="仿宋_GB2312" w:cs="Times New Roman"/>
          <w:color w:val="auto"/>
          <w:kern w:val="2"/>
          <w:sz w:val="32"/>
          <w:szCs w:val="32"/>
          <w:lang w:val="en-US" w:eastAsia="zh-CN" w:bidi="ar-SA"/>
        </w:rPr>
        <w:t>7.</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负责全州人民检察院机构设置、编制和人员配备的审核报批，干警招收录用协调及教育培训、立功受奖、优扶、宣传等工作，协管各县（市）检察机关领导干部。</w:t>
      </w:r>
      <w:r>
        <w:rPr>
          <w:rFonts w:hint="eastAsia" w:ascii="Times New Roman" w:hAnsi="Times New Roman" w:eastAsia="仿宋_GB2312" w:cs="Times New Roman"/>
          <w:color w:val="auto"/>
          <w:kern w:val="2"/>
          <w:sz w:val="32"/>
          <w:szCs w:val="32"/>
          <w:lang w:val="en-US" w:eastAsia="zh-CN" w:bidi="ar-SA"/>
        </w:rPr>
        <w:t>8.</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负责对全州检察队伍执行法律、法规和有关规定情况、作风纪律情况及重要工作开展情况进行督察，组织查处或指导查处检察院干警违法、违纪案件，指导全州检察队伍党风廉政建设。</w:t>
      </w:r>
      <w:r>
        <w:rPr>
          <w:rFonts w:hint="eastAsia" w:ascii="Times New Roman" w:hAnsi="Times New Roman" w:eastAsia="仿宋_GB2312" w:cs="Times New Roman"/>
          <w:color w:val="auto"/>
          <w:kern w:val="2"/>
          <w:sz w:val="32"/>
          <w:szCs w:val="32"/>
          <w:lang w:val="en-US" w:eastAsia="zh-CN" w:bidi="ar-SA"/>
        </w:rPr>
        <w:t>9.</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 xml:space="preserve">负责检察系统不稳定因素的协调和调解工作；担负机关维稳、综治、消防等工作。 </w:t>
      </w:r>
    </w:p>
    <w:p w14:paraId="6423985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（三）人员概况。</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截至</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年末，我院人员编制数</w:t>
      </w:r>
      <w:r>
        <w:rPr>
          <w:rFonts w:hint="eastAsia" w:ascii="Times New Roman" w:hAnsi="Times New Roman" w:eastAsia="仿宋_GB2312" w:cs="Times New Roman"/>
          <w:color w:val="auto"/>
          <w:kern w:val="2"/>
          <w:sz w:val="32"/>
          <w:szCs w:val="32"/>
          <w:lang w:val="en-US" w:eastAsia="zh-CN" w:bidi="ar-SA"/>
        </w:rPr>
        <w:t>72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名，其中政法专项编制</w:t>
      </w:r>
      <w:r>
        <w:rPr>
          <w:rFonts w:hint="eastAsia" w:ascii="Times New Roman" w:hAnsi="Times New Roman" w:eastAsia="仿宋_GB2312" w:cs="Times New Roman"/>
          <w:color w:val="auto"/>
          <w:kern w:val="2"/>
          <w:sz w:val="32"/>
          <w:szCs w:val="32"/>
          <w:lang w:val="en-US" w:eastAsia="zh-CN" w:bidi="ar-SA"/>
        </w:rPr>
        <w:t>59</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名，工勤编制</w:t>
      </w:r>
      <w:r>
        <w:rPr>
          <w:rFonts w:hint="eastAsia" w:ascii="Times New Roman" w:hAnsi="Times New Roman" w:eastAsia="仿宋_GB2312" w:cs="Times New Roman"/>
          <w:color w:val="auto"/>
          <w:kern w:val="2"/>
          <w:sz w:val="32"/>
          <w:szCs w:val="32"/>
          <w:lang w:val="en-US" w:eastAsia="zh-CN" w:bidi="ar-SA"/>
        </w:rPr>
        <w:t>13</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名。截止</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年底在职人员总数</w:t>
      </w:r>
      <w:r>
        <w:rPr>
          <w:rFonts w:hint="eastAsia" w:ascii="Times New Roman" w:hAnsi="Times New Roman" w:eastAsia="仿宋_GB2312" w:cs="Times New Roman"/>
          <w:color w:val="auto"/>
          <w:kern w:val="2"/>
          <w:sz w:val="32"/>
          <w:szCs w:val="32"/>
          <w:lang w:val="en-US" w:eastAsia="zh-CN" w:bidi="ar-SA"/>
        </w:rPr>
        <w:t>61</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名，其中政法专项</w:t>
      </w:r>
      <w:r>
        <w:rPr>
          <w:rFonts w:hint="eastAsia" w:ascii="Times New Roman" w:hAnsi="Times New Roman" w:eastAsia="仿宋_GB2312" w:cs="Times New Roman"/>
          <w:color w:val="auto"/>
          <w:kern w:val="2"/>
          <w:sz w:val="32"/>
          <w:szCs w:val="32"/>
          <w:lang w:val="en-US" w:eastAsia="zh-CN" w:bidi="ar-SA"/>
        </w:rPr>
        <w:t>55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人，工勤人员</w:t>
      </w:r>
      <w:r>
        <w:rPr>
          <w:rFonts w:hint="eastAsia" w:ascii="Times New Roman" w:hAnsi="Times New Roman" w:eastAsia="仿宋_GB2312" w:cs="Times New Roman"/>
          <w:color w:val="auto"/>
          <w:kern w:val="2"/>
          <w:sz w:val="32"/>
          <w:szCs w:val="32"/>
          <w:lang w:val="en-US" w:eastAsia="zh-CN" w:bidi="ar-SA"/>
        </w:rPr>
        <w:t>6</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人；退休人员</w:t>
      </w:r>
      <w:r>
        <w:rPr>
          <w:rFonts w:hint="eastAsia" w:ascii="Times New Roman" w:hAnsi="Times New Roman" w:eastAsia="仿宋_GB2312" w:cs="Times New Roman"/>
          <w:color w:val="auto"/>
          <w:kern w:val="2"/>
          <w:sz w:val="32"/>
          <w:szCs w:val="32"/>
          <w:lang w:val="en-US" w:eastAsia="zh-CN" w:bidi="ar-SA"/>
        </w:rPr>
        <w:t>46</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人、离休人员</w:t>
      </w:r>
      <w:r>
        <w:rPr>
          <w:rFonts w:hint="eastAsia" w:ascii="Times New Roman" w:hAnsi="Times New Roman" w:eastAsia="仿宋_GB2312" w:cs="Times New Roman"/>
          <w:color w:val="auto"/>
          <w:kern w:val="2"/>
          <w:sz w:val="32"/>
          <w:szCs w:val="32"/>
          <w:lang w:val="en-US" w:eastAsia="zh-CN" w:bidi="ar-SA"/>
        </w:rPr>
        <w:t>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人。</w:t>
      </w:r>
    </w:p>
    <w:p w14:paraId="2EFE88C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黑体" w:hAnsi="黑体" w:eastAsia="黑体" w:cs="黑体"/>
          <w:b w:val="0"/>
          <w:bCs w:val="0"/>
          <w:color w:val="000000"/>
          <w:kern w:val="0"/>
          <w:sz w:val="32"/>
          <w:szCs w:val="32"/>
          <w:highlight w:val="none"/>
          <w:shd w:val="clear" w:color="auto" w:fill="FFFFFF"/>
          <w:lang w:val="zh-CN"/>
        </w:rPr>
      </w:pPr>
      <w:r>
        <w:rPr>
          <w:rFonts w:hint="eastAsia" w:ascii="黑体" w:hAnsi="黑体" w:eastAsia="黑体" w:cs="黑体"/>
          <w:b w:val="0"/>
          <w:bCs w:val="0"/>
          <w:color w:val="000000"/>
          <w:kern w:val="0"/>
          <w:sz w:val="32"/>
          <w:szCs w:val="32"/>
          <w:highlight w:val="none"/>
          <w:shd w:val="clear" w:color="auto" w:fill="FFFFFF"/>
          <w:lang w:val="zh-CN"/>
        </w:rPr>
        <w:t>二、</w:t>
      </w:r>
      <w:r>
        <w:rPr>
          <w:rFonts w:hint="eastAsia" w:ascii="黑体" w:hAnsi="黑体" w:eastAsia="黑体" w:cs="黑体"/>
          <w:b w:val="0"/>
          <w:bCs w:val="0"/>
          <w:color w:val="000000"/>
          <w:kern w:val="0"/>
          <w:sz w:val="32"/>
          <w:szCs w:val="32"/>
          <w:highlight w:val="none"/>
          <w:shd w:val="clear" w:color="auto" w:fill="FFFFFF"/>
          <w:lang w:val="zh-CN" w:eastAsia="zh-CN"/>
        </w:rPr>
        <w:t>部门</w:t>
      </w:r>
      <w:r>
        <w:rPr>
          <w:rFonts w:hint="eastAsia" w:ascii="黑体" w:hAnsi="黑体" w:eastAsia="黑体" w:cs="黑体"/>
          <w:b w:val="0"/>
          <w:bCs w:val="0"/>
          <w:color w:val="000000"/>
          <w:kern w:val="0"/>
          <w:sz w:val="32"/>
          <w:szCs w:val="32"/>
          <w:highlight w:val="none"/>
          <w:shd w:val="clear" w:color="auto" w:fill="FFFFFF"/>
          <w:lang w:val="zh-CN"/>
        </w:rPr>
        <w:t>资金收支情况</w:t>
      </w:r>
    </w:p>
    <w:p w14:paraId="24D7958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（一）收入情况。</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年年初一般公共财政预算拨款</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万元，比上年减少</w:t>
      </w:r>
      <w:r>
        <w:rPr>
          <w:rFonts w:hint="eastAsia" w:ascii="Times New Roman" w:hAnsi="Times New Roman" w:eastAsia="仿宋_GB2312" w:cs="Times New Roman"/>
          <w:color w:val="auto"/>
          <w:kern w:val="2"/>
          <w:sz w:val="32"/>
          <w:szCs w:val="32"/>
          <w:lang w:val="en-US" w:eastAsia="zh-CN" w:bidi="ar-SA"/>
        </w:rPr>
        <w:t>485.91</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万元，减少</w:t>
      </w:r>
      <w:r>
        <w:rPr>
          <w:rFonts w:hint="eastAsia" w:ascii="Times New Roman" w:hAnsi="Times New Roman" w:eastAsia="仿宋_GB2312" w:cs="Times New Roman"/>
          <w:color w:val="auto"/>
          <w:kern w:val="2"/>
          <w:sz w:val="32"/>
          <w:szCs w:val="32"/>
          <w:lang w:val="en-US" w:eastAsia="zh-CN" w:bidi="ar-SA"/>
        </w:rPr>
        <w:t>11.47</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%，主要原因是我院</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年厉行节俭，减少项目，压减公用经费。</w:t>
      </w:r>
    </w:p>
    <w:p w14:paraId="6F30D7B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决算报表中：</w:t>
      </w:r>
      <w:r>
        <w:rPr>
          <w:rFonts w:hint="eastAsia" w:ascii="仿宋_GB2312" w:hAnsi="仿宋_GB2312" w:eastAsia="仿宋_GB2312" w:cs="仿宋_GB2312"/>
          <w:b w:val="0"/>
          <w:bCs w:val="0"/>
          <w:color w:val="000000"/>
          <w:kern w:val="0"/>
          <w:sz w:val="32"/>
          <w:szCs w:val="32"/>
          <w:highlight w:val="none"/>
          <w:shd w:val="clear" w:color="auto" w:fill="FFFFFF"/>
          <w:lang w:val="zh-CN"/>
        </w:rPr>
        <w:t>我院本年度收入全年预算数为</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zh-CN"/>
        </w:rPr>
        <w:t>万元，收入决算数为</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zh-CN"/>
        </w:rPr>
        <w:t>万元，预算完成度为</w:t>
      </w:r>
      <w:r>
        <w:rPr>
          <w:rFonts w:hint="eastAsia" w:ascii="Times New Roman" w:hAnsi="Times New Roman" w:eastAsia="仿宋_GB2312" w:cs="Times New Roman"/>
          <w:color w:val="auto"/>
          <w:kern w:val="2"/>
          <w:sz w:val="32"/>
          <w:szCs w:val="32"/>
          <w:lang w:val="zh-CN" w:eastAsia="zh-CN" w:bidi="ar-SA"/>
        </w:rPr>
        <w:t>100.00</w:t>
      </w:r>
      <w:r>
        <w:rPr>
          <w:rFonts w:hint="eastAsia" w:ascii="仿宋_GB2312" w:hAnsi="仿宋_GB2312" w:eastAsia="仿宋_GB2312" w:cs="仿宋_GB2312"/>
          <w:b w:val="0"/>
          <w:bCs w:val="0"/>
          <w:color w:val="000000"/>
          <w:kern w:val="0"/>
          <w:sz w:val="32"/>
          <w:szCs w:val="32"/>
          <w:highlight w:val="none"/>
          <w:shd w:val="clear" w:color="auto" w:fill="FFFFFF"/>
          <w:lang w:val="zh-CN"/>
        </w:rPr>
        <w:t>%。我院本年度总收入为</w:t>
      </w:r>
      <w:r>
        <w:rPr>
          <w:rFonts w:hint="eastAsia" w:ascii="Times New Roman" w:hAnsi="Times New Roman" w:eastAsia="仿宋_GB2312" w:cs="Times New Roman"/>
          <w:color w:val="auto"/>
          <w:kern w:val="2"/>
          <w:sz w:val="32"/>
          <w:szCs w:val="32"/>
          <w:lang w:val="en-US" w:eastAsia="zh-CN" w:bidi="ar-SA"/>
        </w:rPr>
        <w:t>3753.54</w:t>
      </w:r>
      <w:r>
        <w:rPr>
          <w:rFonts w:hint="eastAsia" w:ascii="仿宋_GB2312" w:hAnsi="仿宋_GB2312" w:eastAsia="仿宋_GB2312" w:cs="仿宋_GB2312"/>
          <w:b w:val="0"/>
          <w:bCs w:val="0"/>
          <w:color w:val="000000"/>
          <w:kern w:val="0"/>
          <w:sz w:val="32"/>
          <w:szCs w:val="32"/>
          <w:highlight w:val="none"/>
          <w:shd w:val="clear" w:color="auto" w:fill="FFFFFF"/>
          <w:lang w:val="zh-CN"/>
        </w:rPr>
        <w:t>万元。其中：一般公共预算财政拨款收入为</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99.95</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其他收入</w:t>
      </w:r>
      <w:r>
        <w:rPr>
          <w:rFonts w:hint="eastAsia" w:ascii="Times New Roman" w:hAnsi="Times New Roman" w:eastAsia="仿宋_GB2312" w:cs="Times New Roman"/>
          <w:color w:val="auto"/>
          <w:kern w:val="2"/>
          <w:sz w:val="32"/>
          <w:szCs w:val="32"/>
          <w:lang w:val="en-US" w:eastAsia="zh-CN" w:bidi="ar-SA"/>
        </w:rPr>
        <w:t>2.03</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万元，占比</w:t>
      </w:r>
      <w:r>
        <w:rPr>
          <w:rFonts w:hint="eastAsia" w:ascii="Times New Roman" w:hAnsi="Times New Roman" w:eastAsia="仿宋_GB2312" w:cs="Times New Roman"/>
          <w:color w:val="auto"/>
          <w:kern w:val="2"/>
          <w:sz w:val="32"/>
          <w:szCs w:val="32"/>
          <w:lang w:val="en-US" w:eastAsia="zh-CN" w:bidi="ar-SA"/>
        </w:rPr>
        <w:t>0.05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zh-CN"/>
        </w:rPr>
        <w:t>我院本年度总收入为</w:t>
      </w:r>
      <w:r>
        <w:rPr>
          <w:rFonts w:hint="eastAsia" w:ascii="Times New Roman" w:hAnsi="Times New Roman" w:eastAsia="仿宋_GB2312" w:cs="Times New Roman"/>
          <w:color w:val="auto"/>
          <w:kern w:val="2"/>
          <w:sz w:val="32"/>
          <w:szCs w:val="32"/>
          <w:lang w:val="en-US" w:eastAsia="zh-CN" w:bidi="ar-SA"/>
        </w:rPr>
        <w:t>3753.54</w:t>
      </w:r>
      <w:r>
        <w:rPr>
          <w:rFonts w:hint="eastAsia" w:ascii="仿宋_GB2312" w:hAnsi="仿宋_GB2312" w:eastAsia="仿宋_GB2312" w:cs="仿宋_GB2312"/>
          <w:b w:val="0"/>
          <w:bCs w:val="0"/>
          <w:color w:val="000000"/>
          <w:kern w:val="0"/>
          <w:sz w:val="32"/>
          <w:szCs w:val="32"/>
          <w:highlight w:val="none"/>
          <w:shd w:val="clear" w:color="auto" w:fill="FFFFFF"/>
          <w:lang w:val="zh-CN"/>
        </w:rPr>
        <w:t>万元，上年度总收入为</w:t>
      </w:r>
      <w:r>
        <w:rPr>
          <w:rFonts w:hint="eastAsia" w:ascii="Times New Roman" w:hAnsi="Times New Roman" w:eastAsia="仿宋_GB2312" w:cs="Times New Roman"/>
          <w:color w:val="auto"/>
          <w:kern w:val="2"/>
          <w:sz w:val="32"/>
          <w:szCs w:val="32"/>
          <w:lang w:val="en-US" w:eastAsia="zh-CN" w:bidi="ar-SA"/>
        </w:rPr>
        <w:t>4297.41</w:t>
      </w:r>
      <w:r>
        <w:rPr>
          <w:rFonts w:hint="eastAsia" w:ascii="仿宋_GB2312" w:hAnsi="仿宋_GB2312" w:eastAsia="仿宋_GB2312" w:cs="仿宋_GB2312"/>
          <w:b w:val="0"/>
          <w:bCs w:val="0"/>
          <w:color w:val="000000"/>
          <w:kern w:val="0"/>
          <w:sz w:val="32"/>
          <w:szCs w:val="32"/>
          <w:highlight w:val="none"/>
          <w:shd w:val="clear" w:color="auto" w:fill="FFFFFF"/>
          <w:lang w:val="zh-CN"/>
        </w:rPr>
        <w:t>万元，差异为</w:t>
      </w:r>
      <w:r>
        <w:rPr>
          <w:rFonts w:hint="eastAsia" w:ascii="Times New Roman" w:hAnsi="Times New Roman" w:eastAsia="仿宋_GB2312" w:cs="Times New Roman"/>
          <w:color w:val="auto"/>
          <w:kern w:val="2"/>
          <w:sz w:val="32"/>
          <w:szCs w:val="32"/>
          <w:lang w:val="en-US" w:eastAsia="zh-CN" w:bidi="ar-SA"/>
        </w:rPr>
        <w:t>543.87</w:t>
      </w:r>
      <w:r>
        <w:rPr>
          <w:rFonts w:hint="eastAsia" w:ascii="仿宋_GB2312" w:hAnsi="仿宋_GB2312" w:eastAsia="仿宋_GB2312" w:cs="仿宋_GB2312"/>
          <w:b w:val="0"/>
          <w:bCs w:val="0"/>
          <w:color w:val="000000"/>
          <w:kern w:val="0"/>
          <w:sz w:val="32"/>
          <w:szCs w:val="32"/>
          <w:highlight w:val="none"/>
          <w:shd w:val="clear" w:color="auto" w:fill="FFFFFF"/>
          <w:lang w:val="zh-CN"/>
        </w:rPr>
        <w:t>万元，主要原因为：</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年厉行节俭，减少项目，压减公用经费。</w:t>
      </w:r>
    </w:p>
    <w:p w14:paraId="5964FB6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w:t>
      </w:r>
      <w:r>
        <w:rPr>
          <w:rFonts w:hint="eastAsia" w:ascii="楷体_GB2312" w:hAnsi="楷体_GB2312" w:eastAsia="楷体_GB2312" w:cs="楷体_GB2312"/>
          <w:b w:val="0"/>
          <w:bCs w:val="0"/>
          <w:color w:val="000000"/>
          <w:kern w:val="0"/>
          <w:sz w:val="32"/>
          <w:szCs w:val="32"/>
          <w:highlight w:val="none"/>
          <w:shd w:val="clear" w:color="auto" w:fill="FFFFFF"/>
          <w:lang w:val="en-US" w:eastAsia="zh-CN"/>
        </w:rPr>
        <w:t>二</w:t>
      </w: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）支出情况。</w:t>
      </w:r>
      <w:r>
        <w:rPr>
          <w:rFonts w:hint="eastAsia" w:ascii="Times New Roman" w:hAnsi="Times New Roman" w:eastAsia="仿宋_GB2312" w:cs="Times New Roman"/>
          <w:color w:val="auto"/>
          <w:kern w:val="2"/>
          <w:sz w:val="32"/>
          <w:szCs w:val="32"/>
          <w:lang w:val="zh-CN" w:eastAsia="zh-CN" w:bidi="ar-SA"/>
        </w:rPr>
        <w:t>202</w:t>
      </w:r>
      <w:r>
        <w:rPr>
          <w:rFonts w:hint="eastAsia" w:ascii="Times New Roman" w:hAnsi="Times New Roman" w:eastAsia="仿宋_GB2312" w:cs="Times New Roman"/>
          <w:color w:val="auto"/>
          <w:kern w:val="2"/>
          <w:sz w:val="32"/>
          <w:szCs w:val="32"/>
          <w:lang w:val="en-US" w:eastAsia="zh-CN" w:bidi="ar-SA"/>
        </w:rPr>
        <w:t>5</w:t>
      </w:r>
      <w:r>
        <w:rPr>
          <w:rFonts w:hint="eastAsia" w:ascii="仿宋_GB2312" w:hAnsi="仿宋_GB2312" w:eastAsia="仿宋_GB2312" w:cs="仿宋_GB2312"/>
          <w:b w:val="0"/>
          <w:bCs w:val="0"/>
          <w:color w:val="000000"/>
          <w:kern w:val="0"/>
          <w:sz w:val="32"/>
          <w:szCs w:val="32"/>
          <w:highlight w:val="none"/>
          <w:shd w:val="clear" w:color="auto" w:fill="FFFFFF"/>
          <w:lang w:val="zh-CN"/>
        </w:rPr>
        <w:t>年财政拨款支出</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zh-CN"/>
        </w:rPr>
        <w:t>万元，财政拨款支出同比上年</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减少</w:t>
      </w:r>
      <w:r>
        <w:rPr>
          <w:rFonts w:hint="eastAsia" w:ascii="Times New Roman" w:hAnsi="Times New Roman" w:eastAsia="仿宋_GB2312" w:cs="Times New Roman"/>
          <w:color w:val="auto"/>
          <w:kern w:val="2"/>
          <w:sz w:val="32"/>
          <w:szCs w:val="32"/>
          <w:lang w:val="en-US" w:eastAsia="zh-CN" w:bidi="ar-SA"/>
        </w:rPr>
        <w:t>485.91</w:t>
      </w:r>
      <w:r>
        <w:rPr>
          <w:rFonts w:hint="eastAsia" w:ascii="仿宋_GB2312" w:hAnsi="仿宋_GB2312" w:eastAsia="仿宋_GB2312" w:cs="仿宋_GB2312"/>
          <w:b w:val="0"/>
          <w:bCs w:val="0"/>
          <w:color w:val="000000"/>
          <w:kern w:val="0"/>
          <w:sz w:val="32"/>
          <w:szCs w:val="32"/>
          <w:highlight w:val="none"/>
          <w:shd w:val="clear" w:color="auto" w:fill="FFFFFF"/>
          <w:lang w:val="zh-CN"/>
        </w:rPr>
        <w:t>万元</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减少</w:t>
      </w:r>
      <w:r>
        <w:rPr>
          <w:rFonts w:hint="eastAsia" w:ascii="Times New Roman" w:hAnsi="Times New Roman" w:eastAsia="仿宋_GB2312" w:cs="Times New Roman"/>
          <w:color w:val="auto"/>
          <w:kern w:val="2"/>
          <w:sz w:val="32"/>
          <w:szCs w:val="32"/>
          <w:lang w:val="en-US" w:eastAsia="zh-CN" w:bidi="ar-SA"/>
        </w:rPr>
        <w:t>11.47</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zh-CN"/>
        </w:rPr>
        <w:t>主要原因为</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年厉行节俭，减少项目，压减公用经费。</w:t>
      </w:r>
    </w:p>
    <w:p w14:paraId="535114C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 xml:space="preserve"> 决算报表中：</w:t>
      </w:r>
      <w:r>
        <w:rPr>
          <w:rFonts w:hint="eastAsia" w:ascii="仿宋_GB2312" w:hAnsi="仿宋_GB2312" w:eastAsia="仿宋_GB2312" w:cs="仿宋_GB2312"/>
          <w:b w:val="0"/>
          <w:bCs w:val="0"/>
          <w:color w:val="000000"/>
          <w:kern w:val="0"/>
          <w:sz w:val="32"/>
          <w:szCs w:val="32"/>
          <w:highlight w:val="none"/>
          <w:shd w:val="clear" w:color="auto" w:fill="FFFFFF"/>
          <w:lang w:val="zh-CN"/>
        </w:rPr>
        <w:t>本年度支出全年预算数为</w:t>
      </w:r>
      <w:r>
        <w:rPr>
          <w:rFonts w:hint="eastAsia" w:ascii="Times New Roman" w:hAnsi="Times New Roman" w:eastAsia="仿宋_GB2312" w:cs="Times New Roman"/>
          <w:color w:val="auto"/>
          <w:kern w:val="2"/>
          <w:sz w:val="32"/>
          <w:szCs w:val="32"/>
          <w:lang w:val="en-US" w:eastAsia="zh-CN" w:bidi="ar-SA"/>
        </w:rPr>
        <w:t>3789</w:t>
      </w:r>
      <w:r>
        <w:rPr>
          <w:rFonts w:hint="eastAsia" w:ascii="仿宋_GB2312" w:hAnsi="仿宋_GB2312" w:eastAsia="仿宋_GB2312" w:cs="仿宋_GB2312"/>
          <w:b w:val="0"/>
          <w:bCs w:val="0"/>
          <w:color w:val="000000"/>
          <w:kern w:val="0"/>
          <w:sz w:val="32"/>
          <w:szCs w:val="32"/>
          <w:highlight w:val="none"/>
          <w:shd w:val="clear" w:color="auto" w:fill="FFFFFF"/>
          <w:lang w:val="zh-CN"/>
        </w:rPr>
        <w:t>万元，支出决算数为</w:t>
      </w:r>
      <w:r>
        <w:rPr>
          <w:rFonts w:hint="eastAsia" w:ascii="Times New Roman" w:hAnsi="Times New Roman" w:eastAsia="仿宋_GB2312" w:cs="Times New Roman"/>
          <w:color w:val="auto"/>
          <w:kern w:val="2"/>
          <w:sz w:val="32"/>
          <w:szCs w:val="32"/>
          <w:lang w:val="en-US" w:eastAsia="zh-CN" w:bidi="ar-SA"/>
        </w:rPr>
        <w:t>3788.93</w:t>
      </w:r>
      <w:r>
        <w:rPr>
          <w:rFonts w:hint="eastAsia" w:ascii="仿宋_GB2312" w:hAnsi="仿宋_GB2312" w:eastAsia="仿宋_GB2312" w:cs="仿宋_GB2312"/>
          <w:b w:val="0"/>
          <w:bCs w:val="0"/>
          <w:color w:val="000000"/>
          <w:kern w:val="0"/>
          <w:sz w:val="32"/>
          <w:szCs w:val="32"/>
          <w:highlight w:val="none"/>
          <w:shd w:val="clear" w:color="auto" w:fill="FFFFFF"/>
          <w:lang w:val="zh-CN"/>
        </w:rPr>
        <w:t>万元，预算完成度为</w:t>
      </w:r>
      <w:r>
        <w:rPr>
          <w:rFonts w:hint="eastAsia" w:ascii="Times New Roman" w:hAnsi="Times New Roman" w:eastAsia="仿宋_GB2312" w:cs="Times New Roman"/>
          <w:color w:val="auto"/>
          <w:kern w:val="2"/>
          <w:sz w:val="32"/>
          <w:szCs w:val="32"/>
          <w:lang w:val="en-US" w:eastAsia="zh-CN" w:bidi="ar-SA"/>
        </w:rPr>
        <w:t>99.99</w:t>
      </w:r>
      <w:r>
        <w:rPr>
          <w:rFonts w:hint="eastAsia" w:ascii="仿宋_GB2312" w:hAnsi="仿宋_GB2312" w:eastAsia="仿宋_GB2312" w:cs="仿宋_GB2312"/>
          <w:b w:val="0"/>
          <w:bCs w:val="0"/>
          <w:color w:val="000000"/>
          <w:kern w:val="0"/>
          <w:sz w:val="32"/>
          <w:szCs w:val="32"/>
          <w:highlight w:val="none"/>
          <w:shd w:val="clear" w:color="auto" w:fill="FFFFFF"/>
          <w:lang w:val="zh-CN"/>
        </w:rPr>
        <w:t>%。</w:t>
      </w:r>
    </w:p>
    <w:p w14:paraId="11F4F37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zh-CN"/>
        </w:rPr>
        <w:t>我院本年度基本支出为</w:t>
      </w:r>
      <w:r>
        <w:rPr>
          <w:rFonts w:hint="eastAsia" w:ascii="Times New Roman" w:hAnsi="Times New Roman" w:eastAsia="仿宋_GB2312" w:cs="Times New Roman"/>
          <w:color w:val="auto"/>
          <w:kern w:val="2"/>
          <w:sz w:val="32"/>
          <w:szCs w:val="32"/>
          <w:lang w:val="en-US" w:eastAsia="zh-CN" w:bidi="ar-SA"/>
        </w:rPr>
        <w:t>2603.76</w:t>
      </w:r>
      <w:r>
        <w:rPr>
          <w:rFonts w:hint="eastAsia" w:ascii="仿宋_GB2312" w:hAnsi="仿宋_GB2312" w:eastAsia="仿宋_GB2312" w:cs="仿宋_GB2312"/>
          <w:b w:val="0"/>
          <w:bCs w:val="0"/>
          <w:color w:val="000000"/>
          <w:kern w:val="0"/>
          <w:sz w:val="32"/>
          <w:szCs w:val="32"/>
          <w:highlight w:val="none"/>
          <w:shd w:val="clear" w:color="auto" w:fill="FFFFFF"/>
          <w:lang w:val="zh-CN"/>
        </w:rPr>
        <w:t>万元，其中：人员经费支出为</w:t>
      </w:r>
      <w:r>
        <w:rPr>
          <w:rFonts w:hint="eastAsia" w:ascii="Times New Roman" w:hAnsi="Times New Roman" w:eastAsia="仿宋_GB2312" w:cs="Times New Roman"/>
          <w:color w:val="auto"/>
          <w:kern w:val="2"/>
          <w:sz w:val="32"/>
          <w:szCs w:val="32"/>
          <w:lang w:val="en-US" w:eastAsia="zh-CN" w:bidi="ar-SA"/>
        </w:rPr>
        <w:t>2363.44</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90.77</w:t>
      </w:r>
      <w:r>
        <w:rPr>
          <w:rFonts w:hint="eastAsia" w:ascii="仿宋_GB2312" w:hAnsi="仿宋_GB2312" w:eastAsia="仿宋_GB2312" w:cs="仿宋_GB2312"/>
          <w:b w:val="0"/>
          <w:bCs w:val="0"/>
          <w:color w:val="000000"/>
          <w:kern w:val="0"/>
          <w:sz w:val="32"/>
          <w:szCs w:val="32"/>
          <w:highlight w:val="none"/>
          <w:shd w:val="clear" w:color="auto" w:fill="FFFFFF"/>
          <w:lang w:val="zh-CN"/>
        </w:rPr>
        <w:t>%；公用经费支出为</w:t>
      </w:r>
      <w:r>
        <w:rPr>
          <w:rFonts w:hint="eastAsia" w:ascii="Times New Roman" w:hAnsi="Times New Roman" w:eastAsia="仿宋_GB2312" w:cs="Times New Roman"/>
          <w:color w:val="auto"/>
          <w:kern w:val="2"/>
          <w:sz w:val="32"/>
          <w:szCs w:val="32"/>
          <w:lang w:val="en-US" w:eastAsia="zh-CN" w:bidi="ar-SA"/>
        </w:rPr>
        <w:t>240.31</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9.23</w:t>
      </w:r>
      <w:r>
        <w:rPr>
          <w:rFonts w:hint="eastAsia" w:ascii="仿宋_GB2312" w:hAnsi="仿宋_GB2312" w:eastAsia="仿宋_GB2312" w:cs="仿宋_GB2312"/>
          <w:b w:val="0"/>
          <w:bCs w:val="0"/>
          <w:color w:val="000000"/>
          <w:kern w:val="0"/>
          <w:sz w:val="32"/>
          <w:szCs w:val="32"/>
          <w:highlight w:val="none"/>
          <w:shd w:val="clear" w:color="auto" w:fill="FFFFFF"/>
          <w:lang w:val="zh-CN"/>
        </w:rPr>
        <w:t>%。本年度项目支出为</w:t>
      </w:r>
      <w:r>
        <w:rPr>
          <w:rFonts w:hint="eastAsia" w:ascii="Times New Roman" w:hAnsi="Times New Roman" w:eastAsia="仿宋_GB2312" w:cs="Times New Roman"/>
          <w:color w:val="auto"/>
          <w:kern w:val="2"/>
          <w:sz w:val="32"/>
          <w:szCs w:val="32"/>
          <w:lang w:val="en-US" w:eastAsia="zh-CN" w:bidi="ar-SA"/>
        </w:rPr>
        <w:t>1185.17</w:t>
      </w:r>
      <w:r>
        <w:rPr>
          <w:rFonts w:hint="eastAsia" w:ascii="仿宋_GB2312" w:hAnsi="仿宋_GB2312" w:eastAsia="仿宋_GB2312" w:cs="仿宋_GB2312"/>
          <w:b w:val="0"/>
          <w:bCs w:val="0"/>
          <w:color w:val="000000"/>
          <w:kern w:val="0"/>
          <w:sz w:val="32"/>
          <w:szCs w:val="32"/>
          <w:highlight w:val="none"/>
          <w:shd w:val="clear" w:color="auto" w:fill="FFFFFF"/>
          <w:lang w:val="zh-CN"/>
        </w:rPr>
        <w:t>万元。</w:t>
      </w:r>
    </w:p>
    <w:p w14:paraId="5BDB22A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zh-CN"/>
        </w:rPr>
        <w:t>按支出功能分类：我院本年度总支出为</w:t>
      </w:r>
      <w:r>
        <w:rPr>
          <w:rFonts w:hint="eastAsia" w:ascii="Times New Roman" w:hAnsi="Times New Roman" w:eastAsia="仿宋_GB2312" w:cs="Times New Roman"/>
          <w:color w:val="auto"/>
          <w:kern w:val="2"/>
          <w:sz w:val="32"/>
          <w:szCs w:val="32"/>
          <w:lang w:val="en-US" w:eastAsia="zh-CN" w:bidi="ar-SA"/>
        </w:rPr>
        <w:t>3788.93</w:t>
      </w:r>
      <w:r>
        <w:rPr>
          <w:rFonts w:hint="eastAsia" w:ascii="仿宋_GB2312" w:hAnsi="仿宋_GB2312" w:eastAsia="仿宋_GB2312" w:cs="仿宋_GB2312"/>
          <w:b w:val="0"/>
          <w:bCs w:val="0"/>
          <w:color w:val="000000"/>
          <w:kern w:val="0"/>
          <w:sz w:val="32"/>
          <w:szCs w:val="32"/>
          <w:highlight w:val="none"/>
          <w:shd w:val="clear" w:color="auto" w:fill="FFFFFF"/>
          <w:lang w:val="zh-CN"/>
        </w:rPr>
        <w:t>万元。公共安全支出为</w:t>
      </w:r>
      <w:r>
        <w:rPr>
          <w:rFonts w:hint="eastAsia" w:ascii="Times New Roman" w:hAnsi="Times New Roman" w:eastAsia="仿宋_GB2312" w:cs="Times New Roman"/>
          <w:color w:val="auto"/>
          <w:kern w:val="2"/>
          <w:sz w:val="32"/>
          <w:szCs w:val="32"/>
          <w:lang w:val="en-US" w:eastAsia="zh-CN" w:bidi="ar-SA"/>
        </w:rPr>
        <w:t>3284.05</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86.68</w:t>
      </w:r>
      <w:r>
        <w:rPr>
          <w:rFonts w:hint="eastAsia" w:ascii="仿宋_GB2312" w:hAnsi="仿宋_GB2312" w:eastAsia="仿宋_GB2312" w:cs="仿宋_GB2312"/>
          <w:b w:val="0"/>
          <w:bCs w:val="0"/>
          <w:color w:val="000000"/>
          <w:kern w:val="0"/>
          <w:sz w:val="32"/>
          <w:szCs w:val="32"/>
          <w:highlight w:val="none"/>
          <w:shd w:val="clear" w:color="auto" w:fill="FFFFFF"/>
          <w:lang w:val="zh-CN"/>
        </w:rPr>
        <w:t>%；社会保障和就业支出为</w:t>
      </w:r>
      <w:r>
        <w:rPr>
          <w:rFonts w:hint="eastAsia" w:ascii="Times New Roman" w:hAnsi="Times New Roman" w:eastAsia="仿宋_GB2312" w:cs="Times New Roman"/>
          <w:color w:val="auto"/>
          <w:kern w:val="2"/>
          <w:sz w:val="32"/>
          <w:szCs w:val="32"/>
          <w:lang w:val="en-US" w:eastAsia="zh-CN" w:bidi="ar-SA"/>
        </w:rPr>
        <w:t>230.87</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6.09</w:t>
      </w:r>
      <w:r>
        <w:rPr>
          <w:rFonts w:hint="eastAsia" w:ascii="仿宋_GB2312" w:hAnsi="仿宋_GB2312" w:eastAsia="仿宋_GB2312" w:cs="仿宋_GB2312"/>
          <w:b w:val="0"/>
          <w:bCs w:val="0"/>
          <w:color w:val="000000"/>
          <w:kern w:val="0"/>
          <w:sz w:val="32"/>
          <w:szCs w:val="32"/>
          <w:highlight w:val="none"/>
          <w:shd w:val="clear" w:color="auto" w:fill="FFFFFF"/>
          <w:lang w:val="zh-CN"/>
        </w:rPr>
        <w:t>%；卫生健康支出为</w:t>
      </w:r>
      <w:r>
        <w:rPr>
          <w:rFonts w:hint="eastAsia" w:ascii="Times New Roman" w:hAnsi="Times New Roman" w:eastAsia="仿宋_GB2312" w:cs="Times New Roman"/>
          <w:color w:val="auto"/>
          <w:kern w:val="2"/>
          <w:sz w:val="32"/>
          <w:szCs w:val="32"/>
          <w:lang w:val="en-US" w:eastAsia="zh-CN" w:bidi="ar-SA"/>
        </w:rPr>
        <w:t>117.59</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3.1</w:t>
      </w:r>
      <w:r>
        <w:rPr>
          <w:rFonts w:hint="eastAsia" w:ascii="仿宋_GB2312" w:hAnsi="仿宋_GB2312" w:eastAsia="仿宋_GB2312" w:cs="仿宋_GB2312"/>
          <w:b w:val="0"/>
          <w:bCs w:val="0"/>
          <w:color w:val="000000"/>
          <w:kern w:val="0"/>
          <w:sz w:val="32"/>
          <w:szCs w:val="32"/>
          <w:highlight w:val="none"/>
          <w:shd w:val="clear" w:color="auto" w:fill="FFFFFF"/>
          <w:lang w:val="zh-CN"/>
        </w:rPr>
        <w:t>%；住房保障支出为</w:t>
      </w:r>
      <w:r>
        <w:rPr>
          <w:rFonts w:hint="eastAsia" w:ascii="Times New Roman" w:hAnsi="Times New Roman" w:eastAsia="仿宋_GB2312" w:cs="Times New Roman"/>
          <w:color w:val="auto"/>
          <w:kern w:val="2"/>
          <w:sz w:val="32"/>
          <w:szCs w:val="32"/>
          <w:lang w:val="en-US" w:eastAsia="zh-CN" w:bidi="ar-SA"/>
        </w:rPr>
        <w:t>156.42</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4.13</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zh-CN"/>
        </w:rPr>
        <w:t>本年度总支出为</w:t>
      </w:r>
      <w:r>
        <w:rPr>
          <w:rFonts w:hint="eastAsia" w:ascii="Times New Roman" w:hAnsi="Times New Roman" w:eastAsia="仿宋_GB2312" w:cs="Times New Roman"/>
          <w:color w:val="auto"/>
          <w:kern w:val="2"/>
          <w:sz w:val="32"/>
          <w:szCs w:val="32"/>
          <w:lang w:val="en-US" w:eastAsia="zh-CN" w:bidi="ar-SA"/>
        </w:rPr>
        <w:t>3788.93</w:t>
      </w:r>
      <w:r>
        <w:rPr>
          <w:rFonts w:hint="eastAsia" w:ascii="仿宋_GB2312" w:hAnsi="仿宋_GB2312" w:eastAsia="仿宋_GB2312" w:cs="仿宋_GB2312"/>
          <w:b w:val="0"/>
          <w:bCs w:val="0"/>
          <w:color w:val="000000"/>
          <w:kern w:val="0"/>
          <w:sz w:val="32"/>
          <w:szCs w:val="32"/>
          <w:highlight w:val="none"/>
          <w:shd w:val="clear" w:color="auto" w:fill="FFFFFF"/>
          <w:lang w:val="zh-CN"/>
        </w:rPr>
        <w:t>万元，上年度总支出为</w:t>
      </w:r>
      <w:r>
        <w:rPr>
          <w:rFonts w:hint="eastAsia" w:ascii="Times New Roman" w:hAnsi="Times New Roman" w:eastAsia="仿宋_GB2312" w:cs="Times New Roman"/>
          <w:color w:val="auto"/>
          <w:kern w:val="2"/>
          <w:sz w:val="32"/>
          <w:szCs w:val="32"/>
          <w:lang w:val="en-US" w:eastAsia="zh-CN" w:bidi="ar-SA"/>
        </w:rPr>
        <w:t>4266.33</w:t>
      </w:r>
      <w:r>
        <w:rPr>
          <w:rFonts w:hint="eastAsia" w:ascii="仿宋_GB2312" w:hAnsi="仿宋_GB2312" w:eastAsia="仿宋_GB2312" w:cs="仿宋_GB2312"/>
          <w:b w:val="0"/>
          <w:bCs w:val="0"/>
          <w:color w:val="000000"/>
          <w:kern w:val="0"/>
          <w:sz w:val="32"/>
          <w:szCs w:val="32"/>
          <w:highlight w:val="none"/>
          <w:shd w:val="clear" w:color="auto" w:fill="FFFFFF"/>
          <w:lang w:val="zh-CN"/>
        </w:rPr>
        <w:t>万元，差异为</w:t>
      </w:r>
      <w:r>
        <w:rPr>
          <w:rFonts w:hint="eastAsia" w:ascii="Times New Roman" w:hAnsi="Times New Roman" w:eastAsia="仿宋_GB2312" w:cs="Times New Roman"/>
          <w:color w:val="auto"/>
          <w:kern w:val="2"/>
          <w:sz w:val="32"/>
          <w:szCs w:val="32"/>
          <w:lang w:val="en-US" w:eastAsia="zh-CN" w:bidi="ar-SA"/>
        </w:rPr>
        <w:t>477.4</w:t>
      </w:r>
      <w:r>
        <w:rPr>
          <w:rFonts w:hint="eastAsia" w:ascii="仿宋_GB2312" w:hAnsi="仿宋_GB2312" w:eastAsia="仿宋_GB2312" w:cs="仿宋_GB2312"/>
          <w:b w:val="0"/>
          <w:bCs w:val="0"/>
          <w:color w:val="000000"/>
          <w:kern w:val="0"/>
          <w:sz w:val="32"/>
          <w:szCs w:val="32"/>
          <w:highlight w:val="none"/>
          <w:shd w:val="clear" w:color="auto" w:fill="FFFFFF"/>
          <w:lang w:val="zh-CN"/>
        </w:rPr>
        <w:t>万元，主要原因为：</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年厉行节俭，减少项目，压减公用经费。</w:t>
      </w:r>
    </w:p>
    <w:p w14:paraId="5E5C2A3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结余分配和结转结余情况。</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我院</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结转结余</w:t>
      </w:r>
      <w:r>
        <w:rPr>
          <w:rFonts w:hint="eastAsia" w:ascii="Times New Roman" w:hAnsi="Times New Roman" w:eastAsia="仿宋_GB2312" w:cs="Times New Roman"/>
          <w:color w:val="auto"/>
          <w:kern w:val="2"/>
          <w:sz w:val="32"/>
          <w:szCs w:val="32"/>
          <w:lang w:val="en-US" w:eastAsia="zh-CN" w:bidi="ar-SA"/>
        </w:rPr>
        <w:t>733.2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元，为四川省人民检察院交办的案件费用。</w:t>
      </w:r>
    </w:p>
    <w:p w14:paraId="0494A11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决算报表中：</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年末年末结转和结余</w:t>
      </w:r>
      <w:r>
        <w:rPr>
          <w:rFonts w:hint="eastAsia" w:ascii="Times New Roman" w:hAnsi="Times New Roman" w:eastAsia="仿宋_GB2312" w:cs="Times New Roman"/>
          <w:color w:val="auto"/>
          <w:kern w:val="2"/>
          <w:sz w:val="32"/>
          <w:szCs w:val="32"/>
          <w:lang w:val="en-US" w:eastAsia="zh-CN" w:bidi="ar-SA"/>
        </w:rPr>
        <w:t>733.2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元 其中：一般公共预算财政拨款结转</w:t>
      </w:r>
      <w:r>
        <w:rPr>
          <w:rFonts w:hint="eastAsia" w:ascii="Times New Roman" w:hAnsi="Times New Roman" w:eastAsia="仿宋_GB2312" w:cs="Times New Roman"/>
          <w:color w:val="auto"/>
          <w:kern w:val="2"/>
          <w:sz w:val="32"/>
          <w:szCs w:val="32"/>
          <w:lang w:val="en-US" w:eastAsia="zh-CN" w:bidi="ar-SA"/>
        </w:rPr>
        <w:t>0</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万元，非财政拨款结转</w:t>
      </w:r>
      <w:r>
        <w:rPr>
          <w:rFonts w:hint="eastAsia" w:ascii="Times New Roman" w:hAnsi="Times New Roman" w:eastAsia="仿宋_GB2312" w:cs="Times New Roman"/>
          <w:color w:val="auto"/>
          <w:kern w:val="2"/>
          <w:sz w:val="32"/>
          <w:szCs w:val="32"/>
          <w:lang w:val="en-US" w:eastAsia="zh-CN" w:bidi="ar-SA"/>
        </w:rPr>
        <w:t>733.2元。</w:t>
      </w:r>
    </w:p>
    <w:p w14:paraId="1AA0C84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黑体" w:hAnsi="黑体" w:eastAsia="黑体" w:cs="黑体"/>
          <w:b w:val="0"/>
          <w:bCs w:val="0"/>
          <w:color w:val="000000"/>
          <w:kern w:val="0"/>
          <w:sz w:val="32"/>
          <w:szCs w:val="32"/>
          <w:highlight w:val="none"/>
          <w:shd w:val="clear" w:color="auto" w:fill="FFFFFF"/>
          <w:lang w:val="zh-CN"/>
        </w:rPr>
      </w:pPr>
      <w:r>
        <w:rPr>
          <w:rFonts w:hint="eastAsia" w:ascii="黑体" w:hAnsi="黑体" w:eastAsia="黑体" w:cs="黑体"/>
          <w:b w:val="0"/>
          <w:bCs w:val="0"/>
          <w:color w:val="000000"/>
          <w:kern w:val="0"/>
          <w:sz w:val="32"/>
          <w:szCs w:val="32"/>
          <w:highlight w:val="none"/>
          <w:shd w:val="clear" w:color="auto" w:fill="FFFFFF"/>
          <w:lang w:val="zh-CN"/>
        </w:rPr>
        <w:t>三、部门</w:t>
      </w:r>
      <w:r>
        <w:rPr>
          <w:rFonts w:hint="eastAsia" w:ascii="黑体" w:hAnsi="黑体" w:eastAsia="黑体" w:cs="黑体"/>
          <w:b w:val="0"/>
          <w:bCs w:val="0"/>
          <w:color w:val="000000"/>
          <w:kern w:val="0"/>
          <w:sz w:val="32"/>
          <w:szCs w:val="32"/>
          <w:highlight w:val="none"/>
          <w:shd w:val="clear" w:color="auto" w:fill="FFFFFF"/>
          <w:lang w:val="zh-CN" w:eastAsia="zh-CN"/>
        </w:rPr>
        <w:t>预算</w:t>
      </w:r>
      <w:r>
        <w:rPr>
          <w:rFonts w:hint="eastAsia" w:ascii="黑体" w:hAnsi="黑体" w:eastAsia="黑体" w:cs="黑体"/>
          <w:b w:val="0"/>
          <w:bCs w:val="0"/>
          <w:color w:val="000000"/>
          <w:kern w:val="0"/>
          <w:sz w:val="32"/>
          <w:szCs w:val="32"/>
          <w:highlight w:val="none"/>
          <w:shd w:val="clear" w:color="auto" w:fill="FFFFFF"/>
          <w:lang w:val="zh-CN"/>
        </w:rPr>
        <w:t>绩效</w:t>
      </w:r>
      <w:r>
        <w:rPr>
          <w:rFonts w:hint="eastAsia" w:ascii="黑体" w:hAnsi="黑体" w:eastAsia="黑体" w:cs="黑体"/>
          <w:b w:val="0"/>
          <w:bCs w:val="0"/>
          <w:color w:val="000000"/>
          <w:kern w:val="0"/>
          <w:sz w:val="32"/>
          <w:szCs w:val="32"/>
          <w:highlight w:val="none"/>
          <w:shd w:val="clear" w:color="auto" w:fill="FFFFFF"/>
          <w:lang w:val="zh-CN" w:eastAsia="zh-CN"/>
        </w:rPr>
        <w:t>分析</w:t>
      </w:r>
    </w:p>
    <w:p w14:paraId="5842829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b w:val="0"/>
          <w:bCs w:val="0"/>
          <w:color w:val="000000"/>
          <w:kern w:val="0"/>
          <w:sz w:val="32"/>
          <w:szCs w:val="32"/>
          <w:highlight w:val="none"/>
          <w:shd w:val="clear" w:color="auto" w:fill="FFFFFF"/>
          <w:lang w:val="zh-CN"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（一）部门预算总体绩效分析。</w:t>
      </w:r>
    </w:p>
    <w:p w14:paraId="035D0FD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en-US" w:eastAsia="zh-CN" w:bidi="ar-SA"/>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w:t>
      </w:r>
      <w:r>
        <w:rPr>
          <w:rFonts w:hint="eastAsia" w:ascii="仿宋_GB2312" w:hAnsi="仿宋_GB2312" w:eastAsia="仿宋_GB2312" w:cs="仿宋_GB2312"/>
          <w:b w:val="0"/>
          <w:bCs w:val="0"/>
          <w:color w:val="000000"/>
          <w:kern w:val="0"/>
          <w:sz w:val="32"/>
          <w:szCs w:val="32"/>
          <w:highlight w:val="none"/>
          <w:shd w:val="clear" w:color="auto" w:fill="FFFFFF"/>
          <w:lang w:val="zh-CN"/>
        </w:rPr>
        <w:t>履职效能。</w:t>
      </w:r>
      <w:r>
        <w:rPr>
          <w:rFonts w:hint="eastAsia" w:ascii="Times New Roman" w:hAnsi="Times New Roman" w:eastAsia="仿宋_GB2312" w:cs="Times New Roman"/>
          <w:color w:val="auto"/>
          <w:kern w:val="2"/>
          <w:sz w:val="32"/>
          <w:szCs w:val="32"/>
          <w:lang w:val="en-US" w:eastAsia="zh-CN" w:bidi="ar-SA"/>
        </w:rPr>
        <w:t>得分15分。我院履职效能三级指标为：各项检务保障工作完成率</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履行法律监督职责全面性</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打击犯罪、保障人权、维护司法公正</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加强各项检察辅助职能，为检察业务提供有力保障</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加大办案力度，提高办案质量。我院在2025年的工作中年终均完成了年初设置的目标，年终完成了履职效果。</w:t>
      </w:r>
    </w:p>
    <w:p w14:paraId="1AD4C47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2.</w:t>
      </w:r>
      <w:r>
        <w:rPr>
          <w:rFonts w:hint="eastAsia" w:ascii="仿宋_GB2312" w:hAnsi="仿宋_GB2312" w:eastAsia="仿宋_GB2312" w:cs="仿宋_GB2312"/>
          <w:b w:val="0"/>
          <w:bCs w:val="0"/>
          <w:color w:val="000000"/>
          <w:kern w:val="0"/>
          <w:sz w:val="32"/>
          <w:szCs w:val="32"/>
          <w:highlight w:val="none"/>
          <w:shd w:val="clear" w:color="auto" w:fill="FFFFFF"/>
          <w:lang w:val="zh-CN"/>
        </w:rPr>
        <w:t>预算管理。</w:t>
      </w:r>
      <w:r>
        <w:rPr>
          <w:rFonts w:hint="eastAsia" w:ascii="Times New Roman" w:hAnsi="Times New Roman" w:eastAsia="仿宋_GB2312" w:cs="Times New Roman"/>
          <w:color w:val="auto"/>
          <w:kern w:val="2"/>
          <w:sz w:val="32"/>
          <w:szCs w:val="32"/>
          <w:lang w:val="en-US" w:eastAsia="zh-CN" w:bidi="ar-SA"/>
        </w:rPr>
        <w:t>得分20.38分。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预算编制质量：</w:t>
      </w:r>
      <w:r>
        <w:rPr>
          <w:rFonts w:hint="eastAsia" w:ascii="Times New Roman" w:hAnsi="Times New Roman" w:eastAsia="仿宋_GB2312" w:cs="Times New Roman"/>
          <w:color w:val="auto"/>
          <w:kern w:val="2"/>
          <w:sz w:val="32"/>
          <w:szCs w:val="32"/>
          <w:lang w:val="en-US" w:eastAsia="zh-CN" w:bidi="ar-SA"/>
        </w:rPr>
        <w:t>我院严格按要求编制年初部门预算，年初预算编制的科学性和准确性。我院预算执行数3788.93万元，年初预算数4538.06万元，根据该指标得分公式我院得分9.82分。（2）单位收入统筹：我院不涉及本项，故将分数加至</w:t>
      </w:r>
      <w:r>
        <w:rPr>
          <w:rFonts w:hint="eastAsia" w:ascii="Times New Roman" w:hAnsi="Times New Roman" w:eastAsia="仿宋_GB2312" w:cs="Times New Roman"/>
          <w:color w:val="auto"/>
          <w:kern w:val="2"/>
          <w:sz w:val="32"/>
          <w:szCs w:val="32"/>
          <w:lang w:val="zh-CN" w:eastAsia="zh-CN" w:bidi="ar-SA"/>
        </w:rPr>
        <w:t>预算编制质量</w:t>
      </w:r>
      <w:r>
        <w:rPr>
          <w:rFonts w:hint="eastAsia" w:ascii="Times New Roman" w:hAnsi="Times New Roman" w:eastAsia="仿宋_GB2312" w:cs="Times New Roman"/>
          <w:color w:val="auto"/>
          <w:kern w:val="2"/>
          <w:sz w:val="32"/>
          <w:szCs w:val="32"/>
          <w:lang w:val="en-US" w:eastAsia="zh-CN" w:bidi="ar-SA"/>
        </w:rPr>
        <w:t>中。（3）支出执行进度：我院1至6月、1至10月预算执行情况。我院1至6月预算执行数1501.94万元，部门预算数4538.06万元，1至6月支出预警金额占比33.1%，1至6月支出违规金额占比0%，1至10月预算执行数2456.9万元，1至10月支出预警金额占比54.14%，1至10月支出违规金额占比0。我院1-6月</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1-10月预算执行情况较好。根据该指标得分公式我院得分4.29分。（4）预算年终结余：我院整体年终预算结余情况。我院当年年终部门预算注销金额132.31万元</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结转金额616.82万元。根据该指标得分公式我院得分1.67分。我院结转金额为中央和省级中央专业支付资金。 （5）严控一般性支出：我院一般性支出财政拨款年初预算数611.83万元较上年920.62万元。较上年减少，主要原因为2025年我院厉行节俭。根据该指标得分公式我院得分5分。</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 xml:space="preserve">                                                                           </w:t>
      </w:r>
    </w:p>
    <w:p w14:paraId="55EAC0B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3.</w:t>
      </w:r>
      <w:r>
        <w:rPr>
          <w:rFonts w:hint="eastAsia" w:ascii="仿宋_GB2312" w:hAnsi="仿宋_GB2312" w:eastAsia="仿宋_GB2312" w:cs="仿宋_GB2312"/>
          <w:b w:val="0"/>
          <w:bCs w:val="0"/>
          <w:color w:val="000000"/>
          <w:kern w:val="0"/>
          <w:sz w:val="32"/>
          <w:szCs w:val="32"/>
          <w:highlight w:val="none"/>
          <w:shd w:val="clear" w:color="auto" w:fill="FFFFFF"/>
          <w:lang w:val="zh-CN"/>
        </w:rPr>
        <w:t>财务管理。</w:t>
      </w:r>
      <w:r>
        <w:rPr>
          <w:rFonts w:hint="eastAsia" w:ascii="Times New Roman" w:hAnsi="Times New Roman" w:eastAsia="仿宋_GB2312" w:cs="Times New Roman"/>
          <w:color w:val="auto"/>
          <w:kern w:val="2"/>
          <w:sz w:val="32"/>
          <w:szCs w:val="32"/>
          <w:lang w:val="en-US" w:eastAsia="zh-CN" w:bidi="ar-SA"/>
        </w:rPr>
        <w:t>得分10分。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财务管理制度：我院已制定内部财务管理制度等制度机制的。财务管理制度得到落实。</w:t>
      </w:r>
      <w:r>
        <w:rPr>
          <w:rFonts w:hint="eastAsia" w:ascii="Times New Roman" w:hAnsi="Times New Roman" w:eastAsia="仿宋_GB2312" w:cs="Times New Roman"/>
          <w:color w:val="auto"/>
          <w:kern w:val="2"/>
          <w:sz w:val="32"/>
          <w:szCs w:val="32"/>
          <w:lang w:val="en-US" w:eastAsia="zh-CN" w:bidi="ar-SA"/>
        </w:rPr>
        <w:t xml:space="preserve">根据该指标得分公式我院得分4分。（2）财务岗位设置：我院合理设置财务工作岗位，明确职责权限，并严格实行不相容岗位分离的。根据该指标得分公式我院得分2分。（3）资金使用规范：我院不存在资金使用不符合相关财务管理制度规定的情况。根据该指标得分公式我院得分4分。         </w:t>
      </w:r>
    </w:p>
    <w:p w14:paraId="0033106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4.</w:t>
      </w:r>
      <w:r>
        <w:rPr>
          <w:rFonts w:hint="eastAsia" w:ascii="Times New Roman" w:hAnsi="Times New Roman" w:eastAsia="仿宋_GB2312" w:cs="Times New Roman"/>
          <w:color w:val="auto"/>
          <w:kern w:val="2"/>
          <w:sz w:val="32"/>
          <w:szCs w:val="32"/>
          <w:lang w:val="zh-CN" w:eastAsia="zh-CN" w:bidi="ar-SA"/>
        </w:rPr>
        <w:t>资产管理。</w:t>
      </w:r>
      <w:r>
        <w:rPr>
          <w:rFonts w:hint="eastAsia" w:ascii="Times New Roman" w:hAnsi="Times New Roman" w:eastAsia="仿宋_GB2312" w:cs="Times New Roman"/>
          <w:color w:val="auto"/>
          <w:kern w:val="2"/>
          <w:sz w:val="32"/>
          <w:szCs w:val="32"/>
          <w:lang w:val="en-US" w:eastAsia="zh-CN" w:bidi="ar-SA"/>
        </w:rPr>
        <w:t>得分6.6分。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人均资产变化率：</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人均资产变化</w:t>
      </w:r>
      <w:r>
        <w:rPr>
          <w:rFonts w:hint="eastAsia" w:ascii="Times New Roman" w:hAnsi="Times New Roman" w:eastAsia="仿宋_GB2312" w:cs="Times New Roman"/>
          <w:color w:val="auto"/>
          <w:kern w:val="2"/>
          <w:sz w:val="32"/>
          <w:szCs w:val="32"/>
          <w:lang w:val="en-US" w:eastAsia="zh-CN" w:bidi="ar-SA"/>
        </w:rPr>
        <w:t>率为0.13%，省直行政事业单位人均资产变化率为-3.49%。我院大于省直行政事业单位人均资产变化，得分0.3分。同期省级财政收入增长率为-10.58%，省级财政收入增长率为17.1%，我院小于等于0，得分为1.5分。（2）资产利用率：我院办公家具超最低使用年限资产利用率为10.94%，省直行政事业单位平均值为12.93%，我院得分0.9分。我院办公设备超最低使用年限资产利用率49.41%，省直行政事业单位平均值为53.14%，我院得分0.9分。（3）资产盘活率：我院2025年未进行资产盘活，得分3分。</w:t>
      </w:r>
    </w:p>
    <w:p w14:paraId="63ABDAD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Times New Roman" w:hAnsi="Times New Roman" w:eastAsia="仿宋_GB2312" w:cs="Times New Roman"/>
          <w:color w:val="auto"/>
          <w:kern w:val="2"/>
          <w:sz w:val="32"/>
          <w:szCs w:val="32"/>
          <w:lang w:val="en-US" w:eastAsia="zh-CN" w:bidi="ar-SA"/>
        </w:rPr>
        <w:t>5.</w:t>
      </w:r>
      <w:r>
        <w:rPr>
          <w:rFonts w:hint="eastAsia" w:ascii="Times New Roman" w:hAnsi="Times New Roman" w:eastAsia="仿宋_GB2312" w:cs="Times New Roman"/>
          <w:color w:val="auto"/>
          <w:kern w:val="2"/>
          <w:sz w:val="32"/>
          <w:szCs w:val="32"/>
          <w:lang w:val="zh-CN" w:eastAsia="zh-CN" w:bidi="ar-SA"/>
        </w:rPr>
        <w:t>采购管理。</w:t>
      </w:r>
      <w:r>
        <w:rPr>
          <w:rFonts w:hint="eastAsia" w:ascii="Times New Roman" w:hAnsi="Times New Roman" w:eastAsia="仿宋_GB2312" w:cs="Times New Roman"/>
          <w:color w:val="auto"/>
          <w:kern w:val="2"/>
          <w:sz w:val="32"/>
          <w:szCs w:val="32"/>
          <w:lang w:val="en-US" w:eastAsia="zh-CN" w:bidi="ar-SA"/>
        </w:rPr>
        <w:t>得分6分。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支持中小企业发展：我院在适宜由中小企业提供的采购项目和采购包，预留采购份额专门面向中小企业采购，并在采购预算中单独列示。</w:t>
      </w:r>
      <w:r>
        <w:rPr>
          <w:rFonts w:hint="eastAsia" w:ascii="Times New Roman" w:hAnsi="Times New Roman" w:eastAsia="仿宋_GB2312" w:cs="Times New Roman"/>
          <w:color w:val="auto"/>
          <w:kern w:val="2"/>
          <w:sz w:val="32"/>
          <w:szCs w:val="32"/>
          <w:lang w:val="en-US" w:eastAsia="zh-CN" w:bidi="ar-SA"/>
        </w:rPr>
        <w:t>得分3分。（2）</w:t>
      </w:r>
      <w:r>
        <w:rPr>
          <w:rFonts w:hint="eastAsia" w:ascii="Times New Roman" w:hAnsi="Times New Roman" w:eastAsia="仿宋_GB2312" w:cs="Times New Roman"/>
          <w:color w:val="auto"/>
          <w:kern w:val="2"/>
          <w:sz w:val="32"/>
          <w:szCs w:val="32"/>
          <w:lang w:val="zh-CN" w:eastAsia="zh-CN" w:bidi="ar-SA"/>
        </w:rPr>
        <w:t>采购执行率：</w:t>
      </w:r>
      <w:r>
        <w:rPr>
          <w:rFonts w:hint="eastAsia" w:ascii="Times New Roman" w:hAnsi="Times New Roman" w:eastAsia="仿宋_GB2312" w:cs="Times New Roman"/>
          <w:color w:val="auto"/>
          <w:kern w:val="2"/>
          <w:sz w:val="32"/>
          <w:szCs w:val="32"/>
          <w:lang w:val="en-US" w:eastAsia="zh-CN" w:bidi="ar-SA"/>
        </w:rPr>
        <w:t xml:space="preserve">我院2025年政府采购总预算数为768.19万元，2025年政府采购实际支付总金额为462.51万元。根据该指标得分公式我院得分1.83分。         </w:t>
      </w:r>
    </w:p>
    <w:p w14:paraId="72117CF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b w:val="0"/>
          <w:bCs w:val="0"/>
          <w:color w:val="000000"/>
          <w:kern w:val="0"/>
          <w:sz w:val="32"/>
          <w:szCs w:val="32"/>
          <w:highlight w:val="none"/>
          <w:shd w:val="clear" w:color="auto" w:fill="FFFFFF"/>
          <w:lang w:val="en-US"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（二）部门预算项目绩效分析。</w:t>
      </w:r>
    </w:p>
    <w:p w14:paraId="2DBE860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我院常年项目绩效分析。</w:t>
      </w:r>
      <w:r>
        <w:rPr>
          <w:rFonts w:hint="eastAsia" w:ascii="Times New Roman" w:hAnsi="Times New Roman" w:eastAsia="仿宋_GB2312" w:cs="Times New Roman"/>
          <w:color w:val="auto"/>
          <w:kern w:val="2"/>
          <w:sz w:val="32"/>
          <w:szCs w:val="32"/>
          <w:lang w:val="zh-CN" w:eastAsia="zh-CN" w:bidi="ar-SA"/>
        </w:rPr>
        <w:t>该类项目总数</w:t>
      </w:r>
      <w:r>
        <w:rPr>
          <w:rFonts w:hint="eastAsia" w:ascii="Times New Roman" w:hAnsi="Times New Roman" w:eastAsia="仿宋_GB2312" w:cs="Times New Roman"/>
          <w:color w:val="auto"/>
          <w:kern w:val="2"/>
          <w:sz w:val="32"/>
          <w:szCs w:val="32"/>
          <w:lang w:val="en-US" w:eastAsia="zh-CN" w:bidi="ar-SA"/>
        </w:rPr>
        <w:t>25</w:t>
      </w:r>
      <w:r>
        <w:rPr>
          <w:rFonts w:hint="eastAsia" w:ascii="Times New Roman" w:hAnsi="Times New Roman" w:eastAsia="仿宋_GB2312" w:cs="Times New Roman"/>
          <w:color w:val="auto"/>
          <w:kern w:val="2"/>
          <w:sz w:val="32"/>
          <w:szCs w:val="32"/>
          <w:lang w:val="zh-CN" w:eastAsia="zh-CN" w:bidi="ar-SA"/>
        </w:rPr>
        <w:t>个，涉及预算总金额</w:t>
      </w:r>
      <w:r>
        <w:rPr>
          <w:rFonts w:hint="eastAsia" w:ascii="Times New Roman" w:hAnsi="Times New Roman" w:eastAsia="仿宋_GB2312" w:cs="Times New Roman"/>
          <w:color w:val="auto"/>
          <w:kern w:val="2"/>
          <w:sz w:val="32"/>
          <w:szCs w:val="32"/>
          <w:lang w:val="en-US" w:eastAsia="zh-CN" w:bidi="ar-SA"/>
        </w:rPr>
        <w:t>1691.17</w:t>
      </w:r>
      <w:r>
        <w:rPr>
          <w:rFonts w:hint="eastAsia" w:ascii="Times New Roman" w:hAnsi="Times New Roman" w:eastAsia="仿宋_GB2312" w:cs="Times New Roman"/>
          <w:color w:val="auto"/>
          <w:kern w:val="2"/>
          <w:sz w:val="32"/>
          <w:szCs w:val="32"/>
          <w:lang w:val="zh-CN" w:eastAsia="zh-CN" w:bidi="ar-SA"/>
        </w:rPr>
        <w:t>万元，1—1</w:t>
      </w: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lang w:val="zh-CN" w:eastAsia="zh-CN" w:bidi="ar-SA"/>
        </w:rPr>
        <w:t>月预算执行总体进度为</w:t>
      </w:r>
      <w:r>
        <w:rPr>
          <w:rFonts w:hint="eastAsia" w:ascii="Times New Roman" w:hAnsi="Times New Roman" w:eastAsia="仿宋_GB2312" w:cs="Times New Roman"/>
          <w:color w:val="auto"/>
          <w:kern w:val="2"/>
          <w:sz w:val="32"/>
          <w:szCs w:val="32"/>
          <w:lang w:val="en-US" w:eastAsia="zh-CN" w:bidi="ar-SA"/>
        </w:rPr>
        <w:t>72.3</w:t>
      </w:r>
      <w:r>
        <w:rPr>
          <w:rFonts w:hint="eastAsia" w:ascii="Times New Roman" w:hAnsi="Times New Roman" w:eastAsia="仿宋_GB2312" w:cs="Times New Roman"/>
          <w:color w:val="auto"/>
          <w:kern w:val="2"/>
          <w:sz w:val="32"/>
          <w:szCs w:val="32"/>
          <w:lang w:val="zh-CN" w:eastAsia="zh-CN" w:bidi="ar-SA"/>
        </w:rPr>
        <w:t>%，其中：预算结余率大于</w:t>
      </w:r>
      <w:r>
        <w:rPr>
          <w:rFonts w:hint="eastAsia" w:ascii="Times New Roman" w:hAnsi="Times New Roman" w:eastAsia="仿宋_GB2312" w:cs="Times New Roman"/>
          <w:color w:val="auto"/>
          <w:kern w:val="2"/>
          <w:sz w:val="32"/>
          <w:szCs w:val="32"/>
          <w:lang w:val="en-US" w:eastAsia="zh-CN" w:bidi="ar-SA"/>
        </w:rPr>
        <w:t>10%</w:t>
      </w:r>
      <w:r>
        <w:rPr>
          <w:rFonts w:hint="eastAsia" w:ascii="Times New Roman" w:hAnsi="Times New Roman" w:eastAsia="仿宋_GB2312" w:cs="Times New Roman"/>
          <w:color w:val="auto"/>
          <w:kern w:val="2"/>
          <w:sz w:val="32"/>
          <w:szCs w:val="32"/>
          <w:lang w:val="zh-CN" w:eastAsia="zh-CN" w:bidi="ar-SA"/>
        </w:rPr>
        <w:t>的项目</w:t>
      </w:r>
      <w:r>
        <w:rPr>
          <w:rFonts w:hint="eastAsia" w:ascii="Times New Roman" w:hAnsi="Times New Roman" w:eastAsia="仿宋_GB2312" w:cs="Times New Roman"/>
          <w:color w:val="auto"/>
          <w:kern w:val="2"/>
          <w:sz w:val="32"/>
          <w:szCs w:val="32"/>
          <w:lang w:val="en-US" w:eastAsia="zh-CN" w:bidi="ar-SA"/>
        </w:rPr>
        <w:t>有7个</w:t>
      </w:r>
      <w:r>
        <w:rPr>
          <w:rFonts w:hint="eastAsia" w:ascii="Times New Roman" w:hAnsi="Times New Roman" w:eastAsia="仿宋_GB2312" w:cs="Times New Roman"/>
          <w:color w:val="auto"/>
          <w:kern w:val="2"/>
          <w:sz w:val="32"/>
          <w:szCs w:val="32"/>
          <w:lang w:val="zh-CN" w:eastAsia="zh-CN" w:bidi="ar-SA"/>
        </w:rPr>
        <w:t>。</w:t>
      </w:r>
    </w:p>
    <w:p w14:paraId="77DEB46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阶段（一次性）项目绩效分析。</w:t>
      </w:r>
      <w:r>
        <w:rPr>
          <w:rFonts w:hint="eastAsia" w:ascii="Times New Roman" w:hAnsi="Times New Roman" w:eastAsia="仿宋_GB2312" w:cs="Times New Roman"/>
          <w:color w:val="auto"/>
          <w:kern w:val="2"/>
          <w:sz w:val="32"/>
          <w:szCs w:val="32"/>
          <w:lang w:val="zh-CN" w:eastAsia="zh-CN" w:bidi="ar-SA"/>
        </w:rPr>
        <w:t>该类项目总数</w:t>
      </w:r>
      <w:r>
        <w:rPr>
          <w:rFonts w:hint="eastAsia" w:ascii="Times New Roman" w:hAnsi="Times New Roman" w:eastAsia="仿宋_GB2312" w:cs="Times New Roman"/>
          <w:color w:val="auto"/>
          <w:kern w:val="2"/>
          <w:sz w:val="32"/>
          <w:szCs w:val="32"/>
          <w:lang w:val="en-US" w:eastAsia="zh-CN" w:bidi="ar-SA"/>
        </w:rPr>
        <w:t>0</w:t>
      </w:r>
      <w:r>
        <w:rPr>
          <w:rFonts w:hint="eastAsia" w:ascii="Times New Roman" w:hAnsi="Times New Roman" w:eastAsia="仿宋_GB2312" w:cs="Times New Roman"/>
          <w:color w:val="auto"/>
          <w:kern w:val="2"/>
          <w:sz w:val="32"/>
          <w:szCs w:val="32"/>
          <w:lang w:val="zh-CN" w:eastAsia="zh-CN" w:bidi="ar-SA"/>
        </w:rPr>
        <w:t>个，涉及预算总金额</w:t>
      </w:r>
      <w:r>
        <w:rPr>
          <w:rFonts w:hint="eastAsia" w:ascii="Times New Roman" w:hAnsi="Times New Roman" w:eastAsia="仿宋_GB2312" w:cs="Times New Roman"/>
          <w:color w:val="auto"/>
          <w:kern w:val="2"/>
          <w:sz w:val="32"/>
          <w:szCs w:val="32"/>
          <w:lang w:val="en-US" w:eastAsia="zh-CN" w:bidi="ar-SA"/>
        </w:rPr>
        <w:t>0</w:t>
      </w:r>
      <w:r>
        <w:rPr>
          <w:rFonts w:hint="eastAsia" w:ascii="Times New Roman" w:hAnsi="Times New Roman" w:eastAsia="仿宋_GB2312" w:cs="Times New Roman"/>
          <w:color w:val="auto"/>
          <w:kern w:val="2"/>
          <w:sz w:val="32"/>
          <w:szCs w:val="32"/>
          <w:lang w:val="zh-CN" w:eastAsia="zh-CN" w:bidi="ar-SA"/>
        </w:rPr>
        <w:t>万元，1—1</w:t>
      </w: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lang w:val="zh-CN" w:eastAsia="zh-CN" w:bidi="ar-SA"/>
        </w:rPr>
        <w:t>月预算执行总体进度为</w:t>
      </w:r>
      <w:r>
        <w:rPr>
          <w:rFonts w:hint="eastAsia" w:ascii="Times New Roman" w:hAnsi="Times New Roman" w:eastAsia="仿宋_GB2312" w:cs="Times New Roman"/>
          <w:color w:val="auto"/>
          <w:kern w:val="2"/>
          <w:sz w:val="32"/>
          <w:szCs w:val="32"/>
          <w:lang w:val="en-US" w:eastAsia="zh-CN" w:bidi="ar-SA"/>
        </w:rPr>
        <w:t xml:space="preserve">0 </w:t>
      </w:r>
      <w:r>
        <w:rPr>
          <w:rFonts w:hint="eastAsia" w:ascii="Times New Roman" w:hAnsi="Times New Roman" w:eastAsia="仿宋_GB2312" w:cs="Times New Roman"/>
          <w:color w:val="auto"/>
          <w:kern w:val="2"/>
          <w:sz w:val="32"/>
          <w:szCs w:val="32"/>
          <w:lang w:val="zh-CN" w:eastAsia="zh-CN" w:bidi="ar-SA"/>
        </w:rPr>
        <w:t>%，其中：预算结余率大于</w:t>
      </w:r>
      <w:r>
        <w:rPr>
          <w:rFonts w:hint="eastAsia" w:ascii="Times New Roman" w:hAnsi="Times New Roman" w:eastAsia="仿宋_GB2312" w:cs="Times New Roman"/>
          <w:color w:val="auto"/>
          <w:kern w:val="2"/>
          <w:sz w:val="32"/>
          <w:szCs w:val="32"/>
          <w:lang w:val="en-US" w:eastAsia="zh-CN" w:bidi="ar-SA"/>
        </w:rPr>
        <w:t>10%</w:t>
      </w:r>
      <w:r>
        <w:rPr>
          <w:rFonts w:hint="eastAsia" w:ascii="Times New Roman" w:hAnsi="Times New Roman" w:eastAsia="仿宋_GB2312" w:cs="Times New Roman"/>
          <w:color w:val="auto"/>
          <w:kern w:val="2"/>
          <w:sz w:val="32"/>
          <w:szCs w:val="32"/>
          <w:lang w:val="zh-CN" w:eastAsia="zh-CN" w:bidi="ar-SA"/>
        </w:rPr>
        <w:t>的项目共计</w:t>
      </w:r>
      <w:r>
        <w:rPr>
          <w:rFonts w:hint="eastAsia" w:ascii="Times New Roman" w:hAnsi="Times New Roman" w:eastAsia="仿宋_GB2312" w:cs="Times New Roman"/>
          <w:color w:val="auto"/>
          <w:kern w:val="2"/>
          <w:sz w:val="32"/>
          <w:szCs w:val="32"/>
          <w:lang w:val="en-US" w:eastAsia="zh-CN" w:bidi="ar-SA"/>
        </w:rPr>
        <w:t>0</w:t>
      </w:r>
      <w:r>
        <w:rPr>
          <w:rFonts w:hint="eastAsia" w:ascii="Times New Roman" w:hAnsi="Times New Roman" w:eastAsia="仿宋_GB2312" w:cs="Times New Roman"/>
          <w:color w:val="auto"/>
          <w:kern w:val="2"/>
          <w:sz w:val="32"/>
          <w:szCs w:val="32"/>
          <w:lang w:val="zh-CN" w:eastAsia="zh-CN" w:bidi="ar-SA"/>
        </w:rPr>
        <w:t>个。</w:t>
      </w:r>
    </w:p>
    <w:p w14:paraId="66CBFD5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项目决策。</w:t>
      </w:r>
      <w:r>
        <w:rPr>
          <w:rFonts w:hint="eastAsia" w:ascii="Times New Roman" w:hAnsi="Times New Roman" w:eastAsia="仿宋_GB2312" w:cs="Times New Roman"/>
          <w:color w:val="auto"/>
          <w:kern w:val="2"/>
          <w:sz w:val="32"/>
          <w:szCs w:val="32"/>
          <w:lang w:val="en-US" w:eastAsia="zh-CN" w:bidi="ar-SA"/>
        </w:rPr>
        <w:t>得分12分。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决策程序：</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预算项目设立按规定履行评估论证、申报程序。</w:t>
      </w:r>
      <w:r>
        <w:rPr>
          <w:rFonts w:hint="eastAsia" w:ascii="Times New Roman" w:hAnsi="Times New Roman" w:eastAsia="仿宋_GB2312" w:cs="Times New Roman"/>
          <w:color w:val="auto"/>
          <w:kern w:val="2"/>
          <w:sz w:val="32"/>
          <w:szCs w:val="32"/>
          <w:lang w:val="en-US" w:eastAsia="zh-CN" w:bidi="ar-SA"/>
        </w:rPr>
        <w:t>得分4分。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lang w:val="zh-CN" w:eastAsia="zh-CN" w:bidi="ar-SA"/>
        </w:rPr>
        <w:t>目标设置：</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预算项目绩效目标与计划期内的任务量、预算安排的资金量匹配，绩效目标设置科学合理、规范完整、量化细化、预算匹配。</w:t>
      </w:r>
      <w:r>
        <w:rPr>
          <w:rFonts w:hint="eastAsia" w:ascii="Times New Roman" w:hAnsi="Times New Roman" w:eastAsia="仿宋_GB2312" w:cs="Times New Roman"/>
          <w:color w:val="auto"/>
          <w:kern w:val="2"/>
          <w:sz w:val="32"/>
          <w:szCs w:val="32"/>
          <w:lang w:val="en-US" w:eastAsia="zh-CN" w:bidi="ar-SA"/>
        </w:rPr>
        <w:t>得分4分。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3）</w:t>
      </w:r>
      <w:r>
        <w:rPr>
          <w:rFonts w:hint="eastAsia" w:ascii="Times New Roman" w:hAnsi="Times New Roman" w:eastAsia="仿宋_GB2312" w:cs="Times New Roman"/>
          <w:color w:val="auto"/>
          <w:kern w:val="2"/>
          <w:sz w:val="32"/>
          <w:szCs w:val="32"/>
          <w:lang w:val="zh-CN" w:eastAsia="zh-CN" w:bidi="ar-SA"/>
        </w:rPr>
        <w:t>项目入库：</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w:t>
      </w:r>
      <w:r>
        <w:rPr>
          <w:rFonts w:hint="eastAsia" w:ascii="Times New Roman" w:hAnsi="Times New Roman" w:eastAsia="仿宋_GB2312" w:cs="Times New Roman"/>
          <w:color w:val="auto"/>
          <w:kern w:val="2"/>
          <w:sz w:val="32"/>
          <w:szCs w:val="32"/>
          <w:lang w:val="en-US" w:eastAsia="zh-CN" w:bidi="ar-SA"/>
        </w:rPr>
        <w:t>25个</w:t>
      </w:r>
      <w:r>
        <w:rPr>
          <w:rFonts w:hint="eastAsia" w:ascii="Times New Roman" w:hAnsi="Times New Roman" w:eastAsia="仿宋_GB2312" w:cs="Times New Roman"/>
          <w:color w:val="auto"/>
          <w:kern w:val="2"/>
          <w:sz w:val="32"/>
          <w:szCs w:val="32"/>
          <w:lang w:val="zh-CN" w:eastAsia="zh-CN" w:bidi="ar-SA"/>
        </w:rPr>
        <w:t>在规定时间完成项目入库</w:t>
      </w:r>
      <w:r>
        <w:rPr>
          <w:rFonts w:hint="eastAsia" w:ascii="Times New Roman" w:hAnsi="Times New Roman" w:eastAsia="仿宋_GB2312" w:cs="Times New Roman"/>
          <w:color w:val="auto"/>
          <w:kern w:val="2"/>
          <w:sz w:val="32"/>
          <w:szCs w:val="32"/>
          <w:lang w:val="en-US" w:eastAsia="zh-CN" w:bidi="ar-SA"/>
        </w:rPr>
        <w:t>。得分4分。</w:t>
      </w:r>
    </w:p>
    <w:p w14:paraId="736B2E0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2.项目执行</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得分10.3分。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执行同向：</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预算项目实际列支内容与绩效目标设置方向相符。</w:t>
      </w:r>
      <w:r>
        <w:rPr>
          <w:rFonts w:hint="eastAsia" w:ascii="Times New Roman" w:hAnsi="Times New Roman" w:eastAsia="仿宋_GB2312" w:cs="Times New Roman"/>
          <w:color w:val="auto"/>
          <w:kern w:val="2"/>
          <w:sz w:val="32"/>
          <w:szCs w:val="32"/>
          <w:lang w:val="en-US" w:eastAsia="zh-CN" w:bidi="ar-SA"/>
        </w:rPr>
        <w:t>得分4分。（2）</w:t>
      </w:r>
      <w:r>
        <w:rPr>
          <w:rFonts w:hint="eastAsia" w:ascii="Times New Roman" w:hAnsi="Times New Roman" w:eastAsia="仿宋_GB2312" w:cs="Times New Roman"/>
          <w:color w:val="auto"/>
          <w:kern w:val="2"/>
          <w:sz w:val="32"/>
          <w:szCs w:val="32"/>
          <w:lang w:val="zh-CN" w:eastAsia="zh-CN" w:bidi="ar-SA"/>
        </w:rPr>
        <w:t>项目调整：</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预算项目采取对应调整措施。</w:t>
      </w:r>
      <w:r>
        <w:rPr>
          <w:rFonts w:hint="eastAsia" w:ascii="Times New Roman" w:hAnsi="Times New Roman" w:eastAsia="仿宋_GB2312" w:cs="Times New Roman"/>
          <w:color w:val="auto"/>
          <w:kern w:val="2"/>
          <w:sz w:val="32"/>
          <w:szCs w:val="32"/>
          <w:lang w:val="en-US" w:eastAsia="zh-CN" w:bidi="ar-SA"/>
        </w:rPr>
        <w:t>得分4分。（3）</w:t>
      </w:r>
      <w:r>
        <w:rPr>
          <w:rFonts w:hint="eastAsia" w:ascii="Times New Roman" w:hAnsi="Times New Roman" w:eastAsia="仿宋_GB2312" w:cs="Times New Roman"/>
          <w:color w:val="auto"/>
          <w:kern w:val="2"/>
          <w:sz w:val="32"/>
          <w:szCs w:val="32"/>
          <w:lang w:val="zh-CN" w:eastAsia="zh-CN" w:bidi="ar-SA"/>
        </w:rPr>
        <w:t>执行结果：</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预算结余率大于</w:t>
      </w:r>
      <w:r>
        <w:rPr>
          <w:rFonts w:hint="eastAsia" w:ascii="Times New Roman" w:hAnsi="Times New Roman" w:eastAsia="仿宋_GB2312" w:cs="Times New Roman"/>
          <w:color w:val="auto"/>
          <w:kern w:val="2"/>
          <w:sz w:val="32"/>
          <w:szCs w:val="32"/>
          <w:lang w:val="en-US" w:eastAsia="zh-CN" w:bidi="ar-SA"/>
        </w:rPr>
        <w:t>10%</w:t>
      </w:r>
      <w:r>
        <w:rPr>
          <w:rFonts w:hint="eastAsia" w:ascii="Times New Roman" w:hAnsi="Times New Roman" w:eastAsia="仿宋_GB2312" w:cs="Times New Roman"/>
          <w:color w:val="auto"/>
          <w:kern w:val="2"/>
          <w:sz w:val="32"/>
          <w:szCs w:val="32"/>
          <w:lang w:val="zh-CN" w:eastAsia="zh-CN" w:bidi="ar-SA"/>
        </w:rPr>
        <w:t>的项目</w:t>
      </w:r>
      <w:r>
        <w:rPr>
          <w:rFonts w:hint="eastAsia" w:ascii="Times New Roman" w:hAnsi="Times New Roman" w:eastAsia="仿宋_GB2312" w:cs="Times New Roman"/>
          <w:color w:val="auto"/>
          <w:kern w:val="2"/>
          <w:sz w:val="32"/>
          <w:szCs w:val="32"/>
          <w:lang w:val="en-US" w:eastAsia="zh-CN" w:bidi="ar-SA"/>
        </w:rPr>
        <w:t>有7个</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得分2.3分。</w:t>
      </w:r>
    </w:p>
    <w:p w14:paraId="47B8585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3.</w:t>
      </w:r>
      <w:r>
        <w:rPr>
          <w:rFonts w:hint="eastAsia" w:ascii="Times New Roman" w:hAnsi="Times New Roman" w:eastAsia="仿宋_GB2312" w:cs="Times New Roman"/>
          <w:color w:val="auto"/>
          <w:kern w:val="2"/>
          <w:sz w:val="32"/>
          <w:szCs w:val="32"/>
          <w:lang w:val="zh-CN" w:eastAsia="zh-CN" w:bidi="ar-SA"/>
        </w:rPr>
        <w:t>目标实现。</w:t>
      </w:r>
      <w:r>
        <w:rPr>
          <w:rFonts w:hint="eastAsia" w:ascii="Times New Roman" w:hAnsi="Times New Roman" w:eastAsia="仿宋_GB2312" w:cs="Times New Roman"/>
          <w:color w:val="auto"/>
          <w:kern w:val="2"/>
          <w:sz w:val="32"/>
          <w:szCs w:val="32"/>
          <w:lang w:val="en-US" w:eastAsia="zh-CN" w:bidi="ar-SA"/>
        </w:rPr>
        <w:t>得分11分。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目标完成：</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预算项目绩效目标数量指标</w:t>
      </w:r>
      <w:r>
        <w:rPr>
          <w:rFonts w:hint="eastAsia" w:ascii="Times New Roman" w:hAnsi="Times New Roman" w:eastAsia="仿宋_GB2312" w:cs="Times New Roman"/>
          <w:color w:val="auto"/>
          <w:kern w:val="2"/>
          <w:sz w:val="32"/>
          <w:szCs w:val="32"/>
          <w:lang w:val="en-US" w:eastAsia="zh-CN" w:bidi="ar-SA"/>
        </w:rPr>
        <w:t>均</w:t>
      </w:r>
      <w:r>
        <w:rPr>
          <w:rFonts w:hint="eastAsia" w:ascii="Times New Roman" w:hAnsi="Times New Roman" w:eastAsia="仿宋_GB2312" w:cs="Times New Roman"/>
          <w:color w:val="auto"/>
          <w:kern w:val="2"/>
          <w:sz w:val="32"/>
          <w:szCs w:val="32"/>
          <w:lang w:val="zh-CN" w:eastAsia="zh-CN" w:bidi="ar-SA"/>
        </w:rPr>
        <w:t>完成。</w:t>
      </w:r>
      <w:r>
        <w:rPr>
          <w:rFonts w:hint="eastAsia" w:ascii="Times New Roman" w:hAnsi="Times New Roman" w:eastAsia="仿宋_GB2312" w:cs="Times New Roman"/>
          <w:color w:val="auto"/>
          <w:kern w:val="2"/>
          <w:sz w:val="32"/>
          <w:szCs w:val="32"/>
          <w:lang w:val="en-US" w:eastAsia="zh-CN" w:bidi="ar-SA"/>
        </w:rPr>
        <w:t>得分4分。（2）</w:t>
      </w:r>
      <w:r>
        <w:rPr>
          <w:rFonts w:hint="eastAsia" w:ascii="Times New Roman" w:hAnsi="Times New Roman" w:eastAsia="仿宋_GB2312" w:cs="Times New Roman"/>
          <w:color w:val="auto"/>
          <w:kern w:val="2"/>
          <w:sz w:val="32"/>
          <w:szCs w:val="32"/>
          <w:lang w:val="zh-CN" w:eastAsia="zh-CN" w:bidi="ar-SA"/>
        </w:rPr>
        <w:t>目标偏离；</w:t>
      </w:r>
      <w:r>
        <w:rPr>
          <w:rFonts w:hint="eastAsia" w:ascii="Times New Roman" w:hAnsi="Times New Roman" w:eastAsia="仿宋_GB2312" w:cs="Times New Roman"/>
          <w:color w:val="auto"/>
          <w:kern w:val="2"/>
          <w:sz w:val="32"/>
          <w:szCs w:val="32"/>
          <w:lang w:val="en-US" w:eastAsia="zh-CN" w:bidi="ar-SA"/>
        </w:rPr>
        <w:t>我院不存在</w:t>
      </w:r>
      <w:r>
        <w:rPr>
          <w:rFonts w:hint="eastAsia" w:ascii="Times New Roman" w:hAnsi="Times New Roman" w:eastAsia="仿宋_GB2312" w:cs="Times New Roman"/>
          <w:color w:val="auto"/>
          <w:kern w:val="2"/>
          <w:sz w:val="32"/>
          <w:szCs w:val="32"/>
          <w:lang w:val="zh-CN" w:eastAsia="zh-CN" w:bidi="ar-SA"/>
        </w:rPr>
        <w:t>预算项目绩效目标数量指标实现程度与预期目标的偏离</w:t>
      </w:r>
      <w:r>
        <w:rPr>
          <w:rFonts w:hint="eastAsia" w:ascii="Times New Roman" w:hAnsi="Times New Roman" w:eastAsia="仿宋_GB2312" w:cs="Times New Roman"/>
          <w:color w:val="auto"/>
          <w:kern w:val="2"/>
          <w:sz w:val="32"/>
          <w:szCs w:val="32"/>
          <w:lang w:val="en-US" w:eastAsia="zh-CN" w:bidi="ar-SA"/>
        </w:rPr>
        <w:t>的</w:t>
      </w:r>
      <w:r>
        <w:rPr>
          <w:rFonts w:hint="eastAsia" w:ascii="Times New Roman" w:hAnsi="Times New Roman" w:eastAsia="仿宋_GB2312" w:cs="Times New Roman"/>
          <w:color w:val="auto"/>
          <w:kern w:val="2"/>
          <w:sz w:val="32"/>
          <w:szCs w:val="32"/>
          <w:lang w:val="zh-CN" w:eastAsia="zh-CN" w:bidi="ar-SA"/>
        </w:rPr>
        <w:t>情况。</w:t>
      </w:r>
      <w:r>
        <w:rPr>
          <w:rFonts w:hint="eastAsia" w:ascii="Times New Roman" w:hAnsi="Times New Roman" w:eastAsia="仿宋_GB2312" w:cs="Times New Roman"/>
          <w:color w:val="auto"/>
          <w:kern w:val="2"/>
          <w:sz w:val="32"/>
          <w:szCs w:val="32"/>
          <w:lang w:val="en-US" w:eastAsia="zh-CN" w:bidi="ar-SA"/>
        </w:rPr>
        <w:t>得分4分。（3）</w:t>
      </w:r>
      <w:r>
        <w:rPr>
          <w:rFonts w:hint="eastAsia" w:ascii="Times New Roman" w:hAnsi="Times New Roman" w:eastAsia="仿宋_GB2312" w:cs="Times New Roman"/>
          <w:color w:val="auto"/>
          <w:kern w:val="2"/>
          <w:sz w:val="32"/>
          <w:szCs w:val="32"/>
          <w:lang w:val="zh-CN" w:eastAsia="zh-CN" w:bidi="ar-SA"/>
        </w:rPr>
        <w:t>实现效果：</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预算项目绩效目标效益指标实施效果。</w:t>
      </w:r>
      <w:r>
        <w:rPr>
          <w:rFonts w:hint="eastAsia" w:ascii="Times New Roman" w:hAnsi="Times New Roman" w:eastAsia="仿宋_GB2312" w:cs="Times New Roman"/>
          <w:color w:val="auto"/>
          <w:kern w:val="2"/>
          <w:sz w:val="32"/>
          <w:szCs w:val="32"/>
          <w:lang w:val="en-US" w:eastAsia="zh-CN" w:bidi="ar-SA"/>
        </w:rPr>
        <w:t>我院项目均完成绩效目标效益。得分3分。</w:t>
      </w:r>
    </w:p>
    <w:p w14:paraId="7974E3B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b w:val="0"/>
          <w:bCs w:val="0"/>
          <w:color w:val="000000"/>
          <w:kern w:val="0"/>
          <w:sz w:val="32"/>
          <w:szCs w:val="32"/>
          <w:highlight w:val="none"/>
          <w:shd w:val="clear" w:color="auto" w:fill="FFFFFF"/>
          <w:lang w:val="zh-CN"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（三）重点领域绩效分析。</w:t>
      </w:r>
    </w:p>
    <w:p w14:paraId="2076F7D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我院2025年度部门预算绩效不</w:t>
      </w:r>
      <w:r>
        <w:rPr>
          <w:rFonts w:hint="eastAsia" w:ascii="Times New Roman" w:hAnsi="Times New Roman" w:eastAsia="仿宋_GB2312" w:cs="Times New Roman"/>
          <w:color w:val="auto"/>
          <w:kern w:val="2"/>
          <w:sz w:val="32"/>
          <w:szCs w:val="32"/>
          <w:lang w:val="zh-CN" w:eastAsia="zh-CN" w:bidi="ar-SA"/>
        </w:rPr>
        <w:t>涉及国有资本、行政事业性国有资产、债券资金、政府采购和政府购买服务等重点领域。</w:t>
      </w:r>
    </w:p>
    <w:p w14:paraId="3571F7A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（四）绩效结果应用情况。</w:t>
      </w:r>
    </w:p>
    <w:p w14:paraId="496AFD1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信息公开方面：我</w:t>
      </w:r>
      <w:r>
        <w:rPr>
          <w:rFonts w:hint="eastAsia" w:ascii="Times New Roman" w:hAnsi="Times New Roman" w:eastAsia="仿宋_GB2312" w:cs="Times New Roman"/>
          <w:color w:val="auto"/>
          <w:kern w:val="2"/>
          <w:sz w:val="32"/>
          <w:szCs w:val="32"/>
          <w:lang w:val="en-US" w:eastAsia="zh-CN" w:bidi="ar-SA"/>
        </w:rPr>
        <w:t>院</w:t>
      </w:r>
      <w:r>
        <w:rPr>
          <w:rFonts w:hint="eastAsia" w:ascii="Times New Roman" w:hAnsi="Times New Roman" w:eastAsia="仿宋_GB2312" w:cs="Times New Roman"/>
          <w:color w:val="auto"/>
          <w:kern w:val="2"/>
          <w:sz w:val="32"/>
          <w:szCs w:val="32"/>
          <w:lang w:val="zh-CN" w:eastAsia="zh-CN" w:bidi="ar-SA"/>
        </w:rPr>
        <w:t>严格按照相关文件规定对预决算，绩效评价情况在部门门户网站及相关网站进行了公开。部门预算公开内容包括一般公共预算、财政拨款收支预算、政府性基金收支预算；同级财政部门批复的部门预算报表及相关说明全部公开；本部门“三公经费"财政拨款预算总额和分项数额等全部公开。公开的所有数据、文字内容等全部真实。</w:t>
      </w:r>
    </w:p>
    <w:p w14:paraId="080EA1E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Times New Roman" w:hAnsi="Times New Roman" w:eastAsia="仿宋_GB2312" w:cs="Times New Roman"/>
          <w:color w:val="auto"/>
          <w:kern w:val="2"/>
          <w:sz w:val="32"/>
          <w:szCs w:val="32"/>
          <w:lang w:val="zh-CN" w:eastAsia="zh-CN" w:bidi="ar-SA"/>
        </w:rPr>
        <w:t>整改反馈方面：一是严格按照内部巡视组巡查结果加强</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财务收支管理，努力增收节支，减少费用支出，提高资金使用效率。二是做好一年一度的预决算工作。实施阳光采购，将采购资金的预算、采购方式的申请、采购资金的支付及账务处理、资产的登记等过程透明化，促进廉政建设，并提升资金使用效益。三是完善内部稽查、审计制度和各项财务管理制度。规范了审批权限和程序，明确财务责任执行单位所有费用支出必须由经办人签字、科室负责人、财务人员审核、领导审批的流程。四是严格控制各项非常规性费用支出。强化财务管理、监督力度，有效规范单位各项经济事项的决策、执行和考核评价，促进单位决策的民主性和</w:t>
      </w:r>
      <w:r>
        <w:rPr>
          <w:rFonts w:hint="eastAsia" w:ascii="仿宋_GB2312" w:hAnsi="仿宋_GB2312" w:eastAsia="仿宋_GB2312" w:cs="仿宋_GB2312"/>
          <w:b w:val="0"/>
          <w:bCs w:val="0"/>
          <w:color w:val="000000"/>
          <w:kern w:val="0"/>
          <w:sz w:val="32"/>
          <w:szCs w:val="32"/>
          <w:highlight w:val="none"/>
          <w:shd w:val="clear" w:color="auto" w:fill="FFFFFF"/>
          <w:lang w:val="zh-CN"/>
        </w:rPr>
        <w:t>科学性、内部控制的有效性和合理性。</w:t>
      </w:r>
    </w:p>
    <w:p w14:paraId="404DE44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黑体" w:hAnsi="黑体" w:eastAsia="黑体" w:cs="黑体"/>
          <w:b w:val="0"/>
          <w:bCs w:val="0"/>
          <w:color w:val="000000"/>
          <w:kern w:val="0"/>
          <w:sz w:val="32"/>
          <w:szCs w:val="32"/>
          <w:highlight w:val="none"/>
          <w:shd w:val="clear" w:color="auto" w:fill="FFFFFF"/>
          <w:lang w:val="zh-CN"/>
        </w:rPr>
      </w:pPr>
      <w:r>
        <w:rPr>
          <w:rFonts w:hint="eastAsia" w:ascii="黑体" w:hAnsi="黑体" w:eastAsia="黑体" w:cs="黑体"/>
          <w:b w:val="0"/>
          <w:bCs w:val="0"/>
          <w:color w:val="000000"/>
          <w:kern w:val="0"/>
          <w:sz w:val="32"/>
          <w:szCs w:val="32"/>
          <w:highlight w:val="none"/>
          <w:shd w:val="clear" w:color="auto" w:fill="FFFFFF"/>
          <w:lang w:val="zh-CN" w:eastAsia="zh-CN"/>
        </w:rPr>
        <w:t>四、</w:t>
      </w:r>
      <w:r>
        <w:rPr>
          <w:rFonts w:hint="eastAsia" w:ascii="黑体" w:hAnsi="黑体" w:eastAsia="黑体" w:cs="黑体"/>
          <w:b w:val="0"/>
          <w:bCs w:val="0"/>
          <w:color w:val="000000"/>
          <w:kern w:val="0"/>
          <w:sz w:val="32"/>
          <w:szCs w:val="32"/>
          <w:highlight w:val="none"/>
          <w:shd w:val="clear" w:color="auto" w:fill="FFFFFF"/>
          <w:lang w:val="zh-CN"/>
        </w:rPr>
        <w:t>评价结论及建议</w:t>
      </w:r>
    </w:p>
    <w:p w14:paraId="5D98DAE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（一）评价结论。</w:t>
      </w:r>
      <w:r>
        <w:rPr>
          <w:rFonts w:hint="eastAsia" w:ascii="Times New Roman" w:hAnsi="Times New Roman" w:eastAsia="仿宋_GB2312" w:cs="Times New Roman"/>
          <w:color w:val="auto"/>
          <w:kern w:val="2"/>
          <w:sz w:val="32"/>
          <w:szCs w:val="32"/>
          <w:lang w:val="zh-CN" w:eastAsia="zh-CN" w:bidi="ar-SA"/>
        </w:rPr>
        <w:t>2</w:t>
      </w:r>
      <w:r>
        <w:rPr>
          <w:rFonts w:hint="eastAsia" w:ascii="Times New Roman" w:hAnsi="Times New Roman" w:eastAsia="仿宋_GB2312" w:cs="Times New Roman"/>
          <w:color w:val="auto"/>
          <w:kern w:val="2"/>
          <w:sz w:val="32"/>
          <w:szCs w:val="32"/>
          <w:lang w:val="en-US" w:eastAsia="zh-CN" w:bidi="ar-SA"/>
        </w:rPr>
        <w:t>025</w:t>
      </w:r>
      <w:r>
        <w:rPr>
          <w:rFonts w:hint="eastAsia" w:ascii="Times New Roman" w:hAnsi="Times New Roman" w:eastAsia="仿宋_GB2312" w:cs="Times New Roman"/>
          <w:color w:val="auto"/>
          <w:kern w:val="2"/>
          <w:sz w:val="32"/>
          <w:szCs w:val="32"/>
          <w:lang w:val="zh-CN" w:eastAsia="zh-CN" w:bidi="ar-SA"/>
        </w:rPr>
        <w:t>年我</w:t>
      </w:r>
      <w:r>
        <w:rPr>
          <w:rFonts w:hint="eastAsia" w:ascii="Times New Roman" w:hAnsi="Times New Roman" w:eastAsia="仿宋_GB2312" w:cs="Times New Roman"/>
          <w:color w:val="auto"/>
          <w:kern w:val="2"/>
          <w:sz w:val="32"/>
          <w:szCs w:val="32"/>
          <w:lang w:val="en-US" w:eastAsia="zh-CN" w:bidi="ar-SA"/>
        </w:rPr>
        <w:t>院部门整体绩效评价自评得分90.51分。</w:t>
      </w:r>
      <w:r>
        <w:rPr>
          <w:rFonts w:hint="eastAsia" w:ascii="Times New Roman" w:hAnsi="Times New Roman" w:eastAsia="仿宋_GB2312" w:cs="Times New Roman"/>
          <w:color w:val="auto"/>
          <w:kern w:val="2"/>
          <w:sz w:val="32"/>
          <w:szCs w:val="32"/>
          <w:lang w:val="zh-CN" w:eastAsia="zh-CN" w:bidi="ar-SA"/>
        </w:rPr>
        <w:t>从整体上看，资金运行维护决策正确，资金管理规范，项目管理到位，政策执行有力，有效发挥了财政资金的使用效率，顺利完成了各项任务。三公经费严格控制在预算范围内，严格落实了厉行节约的原则。</w:t>
      </w:r>
    </w:p>
    <w:p w14:paraId="7277D59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（二）存在问题。</w:t>
      </w:r>
      <w:r>
        <w:rPr>
          <w:rFonts w:hint="eastAsia" w:ascii="仿宋_GB2312" w:hAnsi="仿宋_GB2312" w:eastAsia="仿宋_GB2312" w:cs="仿宋_GB2312"/>
          <w:b w:val="0"/>
          <w:bCs w:val="0"/>
          <w:color w:val="000000"/>
          <w:kern w:val="0"/>
          <w:sz w:val="32"/>
          <w:szCs w:val="32"/>
          <w:highlight w:val="none"/>
          <w:shd w:val="clear" w:color="auto" w:fill="FFFFFF"/>
          <w:lang w:val="zh-CN"/>
        </w:rPr>
        <w:t>从资金来源、资金性质结转和结余情况，特别是项目经费结转和结余情况来看，一是部门预算项目执行及资金支付进度偏慢。二是资金使用效益有待进一步提高，三是加强财务人员的专业培训力度，提高财务业务水平，促进资金的管理更加规范化、合理化。</w:t>
      </w:r>
    </w:p>
    <w:p w14:paraId="76A6874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b w:val="0"/>
          <w:bCs w:val="0"/>
          <w:color w:val="000000"/>
          <w:kern w:val="0"/>
          <w:sz w:val="32"/>
          <w:szCs w:val="32"/>
          <w:highlight w:val="none"/>
          <w:shd w:val="clear" w:color="auto" w:fill="FFFFFF"/>
          <w:lang w:val="zh-CN"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（三）改进建议。</w:t>
      </w:r>
    </w:p>
    <w:p w14:paraId="3AB5FD9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zh-CN"/>
        </w:rPr>
        <w:t>1、精准编制预算。严格按照政策标准，优化支出结构，提高预算编制的科学化精细化水平。</w:t>
      </w:r>
    </w:p>
    <w:p w14:paraId="175339B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zh-CN"/>
        </w:rPr>
        <w:t>2、完善项目执行责任制。针对结余结转资金较多和预算执行进度偏慢等问题，</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我院</w:t>
      </w:r>
      <w:r>
        <w:rPr>
          <w:rFonts w:hint="eastAsia" w:ascii="仿宋_GB2312" w:hAnsi="仿宋_GB2312" w:eastAsia="仿宋_GB2312" w:cs="仿宋_GB2312"/>
          <w:b w:val="0"/>
          <w:bCs w:val="0"/>
          <w:color w:val="000000"/>
          <w:kern w:val="0"/>
          <w:sz w:val="32"/>
          <w:szCs w:val="32"/>
          <w:highlight w:val="none"/>
          <w:shd w:val="clear" w:color="auto" w:fill="FFFFFF"/>
          <w:lang w:val="zh-CN"/>
        </w:rPr>
        <w:t>将加强和规范项目管理，充分发挥财政资金使用效益，提高预算支付进度，按照工作重点，结合经费预算情况，建立项目执行责任制，将项目支出责任逐一分解落实到具体执行科室和责任人，形成领导重视、各科室联动共同促进项目执行的良好格局。针对资金支付进度偏慢的问题，</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我院</w:t>
      </w:r>
      <w:r>
        <w:rPr>
          <w:rFonts w:hint="eastAsia" w:ascii="仿宋_GB2312" w:hAnsi="仿宋_GB2312" w:eastAsia="仿宋_GB2312" w:cs="仿宋_GB2312"/>
          <w:b w:val="0"/>
          <w:bCs w:val="0"/>
          <w:color w:val="000000"/>
          <w:kern w:val="0"/>
          <w:sz w:val="32"/>
          <w:szCs w:val="32"/>
          <w:highlight w:val="none"/>
          <w:shd w:val="clear" w:color="auto" w:fill="FFFFFF"/>
          <w:lang w:val="zh-CN"/>
        </w:rPr>
        <w:t>及时催办相关科室及责任人要求加快项目的实施进度。</w:t>
      </w:r>
      <w:bookmarkEnd w:id="55"/>
    </w:p>
    <w:p w14:paraId="1F7367E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kern w:val="2"/>
          <w:sz w:val="32"/>
          <w:szCs w:val="24"/>
          <w:highlight w:val="none"/>
          <w:lang w:val="en-US" w:eastAsia="zh-CN" w:bidi="ar-SA"/>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附表：部门整体支出绩效目标完成情况自评表</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w:t>
      </w:r>
    </w:p>
    <w:tbl>
      <w:tblPr>
        <w:tblStyle w:val="16"/>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272"/>
        <w:gridCol w:w="972"/>
        <w:gridCol w:w="1"/>
        <w:gridCol w:w="1289"/>
        <w:gridCol w:w="1058"/>
        <w:gridCol w:w="926"/>
        <w:gridCol w:w="1113"/>
      </w:tblGrid>
      <w:tr w14:paraId="477B7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14:paraId="4CD84E4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22D08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14:paraId="1E3E5E7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4699D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14:paraId="52E9CAA8">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0188F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E84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C925C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阿坝州人民检察院</w:t>
            </w:r>
          </w:p>
        </w:tc>
      </w:tr>
      <w:tr w14:paraId="75920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34CD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99B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052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57F4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7B5D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CF896">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7F0CF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3789</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E7D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3788.93</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2FEB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0.07</w:t>
            </w:r>
          </w:p>
        </w:tc>
      </w:tr>
      <w:tr w14:paraId="6B03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4"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B5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4BF276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B96E3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通过保障办案（业务）经费，提升办案效率，严厉打击违法犯罪，维护社会公平正义，维护地方和谐稳定；通过业务装备经费保障业务装备配置，提升检察机关业务装备的智能化、信息化，促进检察业务高效开展。</w:t>
            </w:r>
          </w:p>
        </w:tc>
      </w:tr>
      <w:tr w14:paraId="6F60D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CE22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0C562FE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AD5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0472D6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14586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9706F">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D197B">
            <w:pPr>
              <w:keepNext w:val="0"/>
              <w:keepLines w:val="0"/>
              <w:pageBreakBefore w:val="0"/>
              <w:widowControl/>
              <w:suppressLineNumbers w:val="0"/>
              <w:tabs>
                <w:tab w:val="center" w:pos="1295"/>
              </w:tabs>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法律监督工作</w:t>
            </w:r>
            <w:r>
              <w:rPr>
                <w:rFonts w:hint="eastAsia" w:eastAsia="宋体" w:cs="Times New Roman"/>
                <w:i w:val="0"/>
                <w:color w:val="000000"/>
                <w:sz w:val="24"/>
                <w:szCs w:val="24"/>
                <w:u w:val="none"/>
                <w:lang w:val="en-US" w:eastAsia="zh-CN"/>
              </w:rPr>
              <w:tab/>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51758D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sz w:val="24"/>
                <w:szCs w:val="24"/>
                <w:u w:val="none"/>
                <w:lang w:val="en-US" w:eastAsia="zh-CN"/>
              </w:rPr>
              <w:t>依法对刑事、民事、行政诉讼活动及判决和裁定执行的法律监督，确保司法公正</w:t>
            </w:r>
          </w:p>
        </w:tc>
      </w:tr>
      <w:tr w14:paraId="2833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D90F">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99E26">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rPr>
              <w:t>提起公益诉讼</w:t>
            </w:r>
            <w:r>
              <w:rPr>
                <w:rFonts w:hint="eastAsia" w:eastAsia="宋体" w:cs="Times New Roman"/>
                <w:i w:val="0"/>
                <w:color w:val="000000"/>
                <w:sz w:val="24"/>
                <w:szCs w:val="24"/>
                <w:u w:val="none"/>
                <w:lang w:val="en-US" w:eastAsia="zh-CN"/>
              </w:rPr>
              <w:t>，控告、申诉、举报受理，未成年人刑事犯罪上诉案件处理，行政检察工作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D4114D7">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rPr>
              <w:t>依法开展提起公益诉讼工作，保护公共利益</w:t>
            </w:r>
            <w:r>
              <w:rPr>
                <w:rFonts w:hint="eastAsia" w:eastAsia="宋体" w:cs="Times New Roman"/>
                <w:i w:val="0"/>
                <w:color w:val="000000"/>
                <w:sz w:val="24"/>
                <w:szCs w:val="24"/>
                <w:u w:val="none"/>
                <w:lang w:eastAsia="zh-CN"/>
              </w:rPr>
              <w:t>。依法按程序受理单位和个人的控告、申诉、举报以及犯罪嫌疑人的自首，开展涉检信访工作。审查行政诉讼监督案件，确保行政行为的合法性</w:t>
            </w:r>
          </w:p>
        </w:tc>
      </w:tr>
      <w:tr w14:paraId="4BC2E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54AB4">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124EA">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财务装备和检察技术信息工作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F3E6CA8">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开展财务装备工作和检察技术信息工作，确保检察院的正常运作</w:t>
            </w:r>
          </w:p>
        </w:tc>
      </w:tr>
      <w:tr w14:paraId="12714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AE6D5">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57FEE">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刑事犯罪预防和普法宣传</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38ED25">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开展刑事犯罪预防、普法宣传工作和参与社会治安综合治理工作</w:t>
            </w:r>
          </w:p>
        </w:tc>
      </w:tr>
      <w:tr w14:paraId="61EF9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B5CE9">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B0C37">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刑事执行监督工作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6E4DBB8">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对监狱、看守所和社区矫正机构等单位执法活动的法律监督，提升监督意见采纳率</w:t>
            </w:r>
          </w:p>
        </w:tc>
      </w:tr>
      <w:tr w14:paraId="00C01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8A0DD">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CAA09">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人员管理</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0130A01">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依法管理检察官及其他检察人员，协同主管部门管理机构及编制</w:t>
            </w:r>
          </w:p>
        </w:tc>
      </w:tr>
      <w:tr w14:paraId="7A00B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15B2A">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5D0A0">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理论研究与案例编写</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9D124FB">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指导全市检察机关的理论研究工作，发布典型案例，提升检察院的专业水平</w:t>
            </w:r>
          </w:p>
        </w:tc>
      </w:tr>
      <w:tr w14:paraId="0108D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64D27">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CF9F4">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案件质量评查与业务数据分析</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227D56">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组织办案质量评查，提升案件评查完成率和准确率，确保检察业务的规范化管理</w:t>
            </w:r>
          </w:p>
        </w:tc>
      </w:tr>
      <w:tr w14:paraId="4641A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0F3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6352FCD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3F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83D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60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45E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496D15F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A5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B92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47FC40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7BA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7F1F26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473A6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2E7F7">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7831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57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C88F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保障内设机构数量</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C9C2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12D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7E0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A9E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20</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left w:val="single" w:color="000000" w:sz="4" w:space="0"/>
              <w:bottom w:val="single" w:color="000000" w:sz="4" w:space="0"/>
              <w:right w:val="single" w:color="000000" w:sz="4" w:space="0"/>
            </w:tcBorders>
            <w:shd w:val="clear" w:color="auto" w:fill="auto"/>
            <w:vAlign w:val="center"/>
          </w:tcPr>
          <w:p w14:paraId="28ED9E1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16</w:t>
            </w:r>
          </w:p>
        </w:tc>
      </w:tr>
      <w:tr w14:paraId="19F39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5"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D4D93">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71F74">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2B7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BC0F">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经费支出合规性</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6E043">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28E0">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合规</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CDAB">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C8D6">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default" w:eastAsia="宋体" w:cs="Times New Roman"/>
                <w:i w:val="0"/>
                <w:color w:val="000000"/>
                <w:sz w:val="24"/>
                <w:szCs w:val="24"/>
                <w:u w:val="none"/>
                <w:lang w:val="en-US" w:eastAsia="zh-CN"/>
              </w:rPr>
              <w:t>10</w:t>
            </w:r>
            <w:r>
              <w:rPr>
                <w:rFonts w:hint="eastAsia" w:eastAsia="宋体" w:cs="Times New Roman"/>
                <w:i w:val="0"/>
                <w:color w:val="000000"/>
                <w:sz w:val="24"/>
                <w:szCs w:val="24"/>
                <w:u w:val="none"/>
                <w:lang w:val="en-US" w:eastAsia="zh-CN"/>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3EA9">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合规</w:t>
            </w:r>
          </w:p>
        </w:tc>
      </w:tr>
      <w:tr w14:paraId="4485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40C0B">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BD95C">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5B8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成本</w:t>
            </w:r>
            <w:r>
              <w:rPr>
                <w:rFonts w:hint="default" w:ascii="Times New Roman" w:hAnsi="Times New Roman" w:eastAsia="宋体" w:cs="Times New Roman"/>
                <w:i w:val="0"/>
                <w:color w:val="000000"/>
                <w:kern w:val="0"/>
                <w:sz w:val="24"/>
                <w:szCs w:val="24"/>
                <w:u w:val="none"/>
                <w:lang w:val="en-US" w:eastAsia="zh-CN" w:bidi="ar"/>
              </w:rPr>
              <w:t>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D5FF">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总成本控制率</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3EA9C">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default" w:ascii="Arial" w:hAnsi="Arial" w:eastAsia="宋体" w:cs="Arial"/>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25A4">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85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73D7">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A7C0">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default" w:eastAsia="宋体" w:cs="Times New Roman"/>
                <w:i w:val="0"/>
                <w:color w:val="000000"/>
                <w:sz w:val="24"/>
                <w:szCs w:val="24"/>
                <w:u w:val="none"/>
                <w:lang w:val="en-US"/>
              </w:rPr>
              <w:t>10</w:t>
            </w:r>
            <w:r>
              <w:rPr>
                <w:rFonts w:hint="eastAsia" w:eastAsia="宋体" w:cs="Times New Roman"/>
                <w:i w:val="0"/>
                <w:color w:val="000000"/>
                <w:sz w:val="24"/>
                <w:szCs w:val="24"/>
                <w:u w:val="none"/>
                <w:lang w:val="en-US" w:eastAsia="zh-CN"/>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0D09">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90</w:t>
            </w:r>
          </w:p>
        </w:tc>
      </w:tr>
      <w:tr w14:paraId="219C0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0A711">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B386A">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23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时效指标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D198">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经费支出时效</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605A2">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D361">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9D51">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8310">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1767">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04DD5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30E9C">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right w:val="single" w:color="000000" w:sz="4" w:space="0"/>
            </w:tcBorders>
            <w:shd w:val="clear" w:color="auto" w:fill="auto"/>
            <w:vAlign w:val="center"/>
          </w:tcPr>
          <w:p w14:paraId="5058761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14:paraId="7C76A8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可持续影响指标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9BA4">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对持续保障检察工作顺利开展的影响程度</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9AD0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9A60">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程度明显</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4C72">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eastAsia="宋体" w:cs="Times New Roman"/>
                <w:i w:val="0"/>
                <w:color w:val="000000"/>
                <w:sz w:val="24"/>
                <w:szCs w:val="24"/>
                <w:u w:val="none"/>
                <w:lang w:val="en-US" w:eastAsia="zh-CN"/>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1515">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93BF">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程度明显</w:t>
            </w:r>
          </w:p>
        </w:tc>
      </w:tr>
      <w:tr w14:paraId="384A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367AD">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bottom w:val="single" w:color="000000" w:sz="4" w:space="0"/>
              <w:right w:val="single" w:color="000000" w:sz="4" w:space="0"/>
            </w:tcBorders>
            <w:shd w:val="clear" w:color="auto" w:fill="auto"/>
            <w:vAlign w:val="center"/>
          </w:tcPr>
          <w:p w14:paraId="711FB6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right w:val="single" w:color="000000" w:sz="4" w:space="0"/>
            </w:tcBorders>
            <w:shd w:val="clear" w:color="auto" w:fill="auto"/>
            <w:vAlign w:val="center"/>
          </w:tcPr>
          <w:p w14:paraId="6E4727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4518CBF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14A2">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保障检察事业顺利发展</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4187F">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ascii="Arial" w:hAnsi="Arial" w:eastAsia="宋体" w:cs="Arial"/>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451D">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85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25C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137D">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13B5">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90</w:t>
            </w:r>
          </w:p>
        </w:tc>
      </w:tr>
      <w:tr w14:paraId="39A63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E6C44">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4A6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8A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54B2">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干警满意度</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6C250">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ascii="Arial" w:hAnsi="Arial" w:eastAsia="宋体" w:cs="Arial"/>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0266">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1317">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1D69">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9DB1">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90</w:t>
            </w:r>
          </w:p>
        </w:tc>
      </w:tr>
    </w:tbl>
    <w:p w14:paraId="2604B19D">
      <w:pPr>
        <w:pStyle w:val="13"/>
        <w:keepNext w:val="0"/>
        <w:keepLines w:val="0"/>
        <w:pageBreakBefore w:val="0"/>
        <w:kinsoku/>
        <w:wordWrap/>
        <w:overflowPunct/>
        <w:topLinePunct w:val="0"/>
        <w:autoSpaceDE/>
        <w:autoSpaceDN/>
        <w:bidi w:val="0"/>
        <w:spacing w:line="560" w:lineRule="exact"/>
        <w:ind w:left="0" w:leftChars="0" w:firstLine="0" w:firstLineChars="0"/>
        <w:rPr>
          <w:rFonts w:hint="default" w:ascii="Times New Roman" w:hAnsi="Times New Roman" w:eastAsia="黑体" w:cs="Times New Roman"/>
          <w:sz w:val="24"/>
          <w:szCs w:val="24"/>
          <w:highlight w:val="none"/>
          <w:lang w:val="en-US" w:eastAsia="zh-CN"/>
        </w:rPr>
        <w:sectPr>
          <w:footerReference r:id="rId8" w:type="default"/>
          <w:pgSz w:w="11906" w:h="16838"/>
          <w:pgMar w:top="1440" w:right="1800" w:bottom="1440" w:left="1800" w:header="851" w:footer="992" w:gutter="0"/>
          <w:pgNumType w:fmt="decimal" w:start="1"/>
          <w:cols w:space="425" w:num="1"/>
          <w:docGrid w:type="lines" w:linePitch="312" w:charSpace="0"/>
        </w:sectPr>
      </w:pPr>
    </w:p>
    <w:p w14:paraId="3180CB9D">
      <w:pPr>
        <w:rPr>
          <w:rFonts w:hint="eastAsia" w:ascii="Times New Roman" w:hAnsi="Times New Roman" w:eastAsia="黑体" w:cs="方正小标宋简体"/>
          <w:color w:val="auto"/>
          <w:kern w:val="2"/>
          <w:sz w:val="44"/>
          <w:szCs w:val="44"/>
          <w:lang w:val="en-US" w:eastAsia="zh-CN"/>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r>
        <w:rPr>
          <w:rFonts w:hint="eastAsia" w:eastAsia="黑体" w:cs="黑体"/>
          <w:sz w:val="32"/>
          <w:szCs w:val="32"/>
          <w:shd w:val="clear" w:color="auto" w:fill="FFFFFF"/>
          <w:lang w:eastAsia="zh-CN"/>
        </w:rPr>
        <w:t>：</w:t>
      </w:r>
    </w:p>
    <w:tbl>
      <w:tblPr>
        <w:tblStyle w:val="16"/>
        <w:tblW w:w="14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8"/>
        <w:gridCol w:w="2"/>
        <w:gridCol w:w="2027"/>
        <w:gridCol w:w="19"/>
        <w:gridCol w:w="9"/>
        <w:gridCol w:w="1723"/>
        <w:gridCol w:w="33"/>
        <w:gridCol w:w="14"/>
        <w:gridCol w:w="2191"/>
        <w:gridCol w:w="53"/>
        <w:gridCol w:w="21"/>
        <w:gridCol w:w="504"/>
        <w:gridCol w:w="21"/>
        <w:gridCol w:w="253"/>
        <w:gridCol w:w="1332"/>
        <w:gridCol w:w="69"/>
        <w:gridCol w:w="26"/>
        <w:gridCol w:w="428"/>
        <w:gridCol w:w="70"/>
        <w:gridCol w:w="27"/>
        <w:gridCol w:w="994"/>
        <w:gridCol w:w="101"/>
        <w:gridCol w:w="229"/>
        <w:gridCol w:w="201"/>
        <w:gridCol w:w="80"/>
        <w:gridCol w:w="218"/>
        <w:gridCol w:w="232"/>
        <w:gridCol w:w="37"/>
        <w:gridCol w:w="387"/>
        <w:gridCol w:w="2126"/>
      </w:tblGrid>
      <w:tr w14:paraId="4B69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11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4A2D1727">
            <w:pPr>
              <w:keepNext w:val="0"/>
              <w:keepLines w:val="0"/>
              <w:widowControl/>
              <w:suppressLineNumbers w:val="0"/>
              <w:jc w:val="center"/>
              <w:textAlignment w:val="cente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942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5A882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项目名称</w:t>
            </w:r>
          </w:p>
        </w:tc>
        <w:tc>
          <w:tcPr>
            <w:tcW w:w="11398"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14:paraId="44819A9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51320024T000010452529-州检察院业务经费</w:t>
            </w:r>
          </w:p>
        </w:tc>
      </w:tr>
      <w:tr w14:paraId="15265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F2CE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主管部门</w:t>
            </w:r>
          </w:p>
        </w:tc>
        <w:tc>
          <w:tcPr>
            <w:tcW w:w="6696"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5AB8A1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州检察院部门</w:t>
            </w:r>
          </w:p>
        </w:tc>
        <w:tc>
          <w:tcPr>
            <w:tcW w:w="1091" w:type="dxa"/>
            <w:gridSpan w:val="3"/>
            <w:tcBorders>
              <w:top w:val="nil"/>
              <w:left w:val="nil"/>
              <w:bottom w:val="nil"/>
              <w:right w:val="nil"/>
            </w:tcBorders>
            <w:shd w:val="clear" w:color="auto" w:fill="auto"/>
            <w:vAlign w:val="center"/>
          </w:tcPr>
          <w:p w14:paraId="3C4674D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实施单位 （盖章）</w:t>
            </w:r>
          </w:p>
        </w:tc>
        <w:tc>
          <w:tcPr>
            <w:tcW w:w="361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9EA37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州检察院</w:t>
            </w:r>
          </w:p>
        </w:tc>
      </w:tr>
      <w:tr w14:paraId="573B4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7304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项目基本情况</w:t>
            </w:r>
          </w:p>
        </w:tc>
        <w:tc>
          <w:tcPr>
            <w:tcW w:w="20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8AD4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1.项目年度目标完成情况</w:t>
            </w:r>
          </w:p>
        </w:tc>
        <w:tc>
          <w:tcPr>
            <w:tcW w:w="6696"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C25F05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项目年度目标</w:t>
            </w:r>
          </w:p>
        </w:tc>
        <w:tc>
          <w:tcPr>
            <w:tcW w:w="470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B9D7B9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年度目标完成情况</w:t>
            </w:r>
          </w:p>
        </w:tc>
      </w:tr>
      <w:tr w14:paraId="5F19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59F62">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76C52">
            <w:pPr>
              <w:pStyle w:val="13"/>
              <w:ind w:left="0" w:leftChars="0" w:firstLine="0" w:firstLineChars="0"/>
              <w:rPr>
                <w:rFonts w:hint="eastAsia" w:asciiTheme="minorEastAsia" w:hAnsiTheme="minorEastAsia" w:eastAsiaTheme="minorEastAsia" w:cstheme="minorEastAsia"/>
                <w:sz w:val="18"/>
                <w:szCs w:val="18"/>
              </w:rPr>
            </w:pPr>
          </w:p>
        </w:tc>
        <w:tc>
          <w:tcPr>
            <w:tcW w:w="6696"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D45C9B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保障我院各类案件办理及期业务工作开展</w:t>
            </w:r>
          </w:p>
        </w:tc>
        <w:tc>
          <w:tcPr>
            <w:tcW w:w="470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90DDF6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 xml:space="preserve"> 通过保障办案（业务）经费，提升办案效率，严厉打击违法犯罪，维护社会公平正义，维护地方和谐稳定；通过业务装备经费保障业务装备配置，提升检察机关业务装备的智能化、信息化，促进检察业务高效开展。</w:t>
            </w:r>
          </w:p>
        </w:tc>
      </w:tr>
      <w:tr w14:paraId="43F11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42D63">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36F4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2.项目实施内容及过程概述</w:t>
            </w:r>
          </w:p>
        </w:tc>
        <w:tc>
          <w:tcPr>
            <w:tcW w:w="11398"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14:paraId="25EB2FD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我院按照财务管理制度支付业务经费</w:t>
            </w:r>
          </w:p>
        </w:tc>
      </w:tr>
      <w:tr w14:paraId="38A94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6315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预算执行情况（10分）</w:t>
            </w: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5918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年度预算数（万元）</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E99D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年初预算</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D43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调整后预算数</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DA61D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预算执行数</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F663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预算执行率</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78F6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权重</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2B152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得分</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3436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原因</w:t>
            </w:r>
          </w:p>
        </w:tc>
      </w:tr>
      <w:tr w14:paraId="48D33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7BEF2">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DED7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总额</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B332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60.00</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4486E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60.00</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2557C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59.74</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A790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99.56%</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2BB2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44A46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FF1196">
            <w:pPr>
              <w:pStyle w:val="13"/>
              <w:ind w:left="0" w:leftChars="0" w:firstLine="0" w:firstLineChars="0"/>
              <w:rPr>
                <w:rFonts w:hint="eastAsia" w:asciiTheme="minorEastAsia" w:hAnsiTheme="minorEastAsia" w:eastAsiaTheme="minorEastAsia" w:cstheme="minorEastAsia"/>
                <w:sz w:val="18"/>
                <w:szCs w:val="18"/>
              </w:rPr>
            </w:pPr>
          </w:p>
        </w:tc>
      </w:tr>
      <w:tr w14:paraId="6B5D7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ACA81">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143E5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其中：财政资金</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931EE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60.00</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21D6E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60.00</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9F43B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59.74</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88F0F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99.56%</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5FD1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B435E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25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9C9C5">
            <w:pPr>
              <w:pStyle w:val="13"/>
              <w:ind w:left="0" w:leftChars="0" w:firstLine="0" w:firstLineChars="0"/>
              <w:rPr>
                <w:rFonts w:hint="eastAsia" w:asciiTheme="minorEastAsia" w:hAnsiTheme="minorEastAsia" w:eastAsiaTheme="minorEastAsia" w:cstheme="minorEastAsia"/>
                <w:sz w:val="18"/>
                <w:szCs w:val="18"/>
              </w:rPr>
            </w:pPr>
          </w:p>
        </w:tc>
      </w:tr>
      <w:tr w14:paraId="13EE9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8D733">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9587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财政专户管理资金</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919B2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E9F1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1DA44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D5A84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96F9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9447F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25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1CD92">
            <w:pPr>
              <w:pStyle w:val="13"/>
              <w:ind w:left="0" w:leftChars="0" w:firstLine="0" w:firstLineChars="0"/>
              <w:rPr>
                <w:rFonts w:hint="eastAsia" w:asciiTheme="minorEastAsia" w:hAnsiTheme="minorEastAsia" w:eastAsiaTheme="minorEastAsia" w:cstheme="minorEastAsia"/>
                <w:sz w:val="18"/>
                <w:szCs w:val="18"/>
              </w:rPr>
            </w:pPr>
          </w:p>
        </w:tc>
      </w:tr>
      <w:tr w14:paraId="5E2F8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5670A">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F55A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单位资金</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95CD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8258F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0B458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7904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0798B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72D96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25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66E11">
            <w:pPr>
              <w:pStyle w:val="13"/>
              <w:ind w:left="0" w:leftChars="0" w:firstLine="0" w:firstLineChars="0"/>
              <w:rPr>
                <w:rFonts w:hint="eastAsia" w:asciiTheme="minorEastAsia" w:hAnsiTheme="minorEastAsia" w:eastAsiaTheme="minorEastAsia" w:cstheme="minorEastAsia"/>
                <w:sz w:val="18"/>
                <w:szCs w:val="18"/>
              </w:rPr>
            </w:pPr>
          </w:p>
        </w:tc>
      </w:tr>
      <w:tr w14:paraId="3BAD0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BB474">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E126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其他资金</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3A1598">
            <w:pPr>
              <w:pStyle w:val="13"/>
              <w:ind w:left="0" w:leftChars="0" w:firstLine="0" w:firstLineChars="0"/>
              <w:rPr>
                <w:rFonts w:hint="eastAsia" w:asciiTheme="minorEastAsia" w:hAnsiTheme="minorEastAsia" w:eastAsiaTheme="minorEastAsia" w:cstheme="minorEastAsia"/>
                <w:sz w:val="18"/>
                <w:szCs w:val="18"/>
              </w:rPr>
            </w:pP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18FB0">
            <w:pPr>
              <w:pStyle w:val="13"/>
              <w:ind w:left="0" w:leftChars="0" w:firstLine="0" w:firstLineChars="0"/>
              <w:rPr>
                <w:rFonts w:hint="eastAsia" w:asciiTheme="minorEastAsia" w:hAnsiTheme="minorEastAsia" w:eastAsiaTheme="minorEastAsia" w:cstheme="minorEastAsia"/>
                <w:sz w:val="18"/>
                <w:szCs w:val="18"/>
              </w:rPr>
            </w:pP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97E596">
            <w:pPr>
              <w:pStyle w:val="13"/>
              <w:ind w:left="0" w:leftChars="0" w:firstLine="0" w:firstLineChars="0"/>
              <w:rPr>
                <w:rFonts w:hint="eastAsia" w:asciiTheme="minorEastAsia" w:hAnsiTheme="minorEastAsia" w:eastAsiaTheme="minorEastAsia" w:cstheme="minorEastAsia"/>
                <w:sz w:val="18"/>
                <w:szCs w:val="18"/>
              </w:rPr>
            </w:pP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60B560">
            <w:pPr>
              <w:pStyle w:val="13"/>
              <w:ind w:left="0" w:leftChars="0" w:firstLine="0" w:firstLineChars="0"/>
              <w:rPr>
                <w:rFonts w:hint="eastAsia" w:asciiTheme="minorEastAsia" w:hAnsiTheme="minorEastAsia" w:eastAsiaTheme="minorEastAsia" w:cstheme="minorEastAsia"/>
                <w:sz w:val="18"/>
                <w:szCs w:val="18"/>
              </w:rPr>
            </w:pP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04C7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D0F6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25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9975E">
            <w:pPr>
              <w:pStyle w:val="13"/>
              <w:ind w:left="0" w:leftChars="0" w:firstLine="0" w:firstLineChars="0"/>
              <w:rPr>
                <w:rFonts w:hint="eastAsia" w:asciiTheme="minorEastAsia" w:hAnsiTheme="minorEastAsia" w:eastAsiaTheme="minorEastAsia" w:cstheme="minorEastAsia"/>
                <w:sz w:val="18"/>
                <w:szCs w:val="18"/>
              </w:rPr>
            </w:pPr>
          </w:p>
        </w:tc>
      </w:tr>
      <w:tr w14:paraId="227EC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3"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9DFA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绩效指标（90分）</w:t>
            </w: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8FF8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一级指标</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04C90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二级指标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8E56E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三级指标</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374F1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指标性质</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6A4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指标值</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F85F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度量单位</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34A5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完成值</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E1C9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权重</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6B8AD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得分</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B4E5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未完成原因分析</w:t>
            </w:r>
          </w:p>
        </w:tc>
      </w:tr>
      <w:tr w14:paraId="30DE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30690">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56AB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产出指标</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269C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数量指标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9A2FB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预计2025年办理案件数</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CFCCF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88B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367</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F750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件</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08BE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367</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765A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34C08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6A331">
            <w:pPr>
              <w:pStyle w:val="13"/>
              <w:ind w:left="0" w:leftChars="0" w:firstLine="0" w:firstLineChars="0"/>
              <w:rPr>
                <w:rFonts w:hint="eastAsia" w:asciiTheme="minorEastAsia" w:hAnsiTheme="minorEastAsia" w:eastAsiaTheme="minorEastAsia" w:cstheme="minorEastAsia"/>
                <w:sz w:val="18"/>
                <w:szCs w:val="18"/>
              </w:rPr>
            </w:pPr>
          </w:p>
        </w:tc>
      </w:tr>
      <w:tr w14:paraId="118A1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2A082">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4573E">
            <w:pPr>
              <w:pStyle w:val="13"/>
              <w:ind w:left="0" w:leftChars="0" w:firstLine="0" w:firstLineChars="0"/>
              <w:rPr>
                <w:rFonts w:hint="eastAsia" w:asciiTheme="minorEastAsia" w:hAnsiTheme="minorEastAsia" w:eastAsiaTheme="minorEastAsia" w:cstheme="minorEastAsia"/>
                <w:sz w:val="18"/>
                <w:szCs w:val="18"/>
              </w:rPr>
            </w:pP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D85E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质量指标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6AD4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案件办理业务工作质量</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DF6AA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定性</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A69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优</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CBD3A">
            <w:pPr>
              <w:pStyle w:val="13"/>
              <w:ind w:left="0" w:leftChars="0" w:firstLine="0" w:firstLineChars="0"/>
              <w:rPr>
                <w:rFonts w:hint="eastAsia" w:asciiTheme="minorEastAsia" w:hAnsiTheme="minorEastAsia" w:eastAsiaTheme="minorEastAsia" w:cstheme="minorEastAsia"/>
                <w:sz w:val="18"/>
                <w:szCs w:val="18"/>
              </w:rPr>
            </w:pP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7746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优</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CEF6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61BE2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93828">
            <w:pPr>
              <w:pStyle w:val="13"/>
              <w:ind w:left="0" w:leftChars="0" w:firstLine="0" w:firstLineChars="0"/>
              <w:rPr>
                <w:rFonts w:hint="eastAsia" w:asciiTheme="minorEastAsia" w:hAnsiTheme="minorEastAsia" w:eastAsiaTheme="minorEastAsia" w:cstheme="minorEastAsia"/>
                <w:sz w:val="18"/>
                <w:szCs w:val="18"/>
              </w:rPr>
            </w:pPr>
          </w:p>
        </w:tc>
      </w:tr>
      <w:tr w14:paraId="7ED3B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85DCC">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92495">
            <w:pPr>
              <w:pStyle w:val="13"/>
              <w:ind w:left="0" w:leftChars="0" w:firstLine="0" w:firstLineChars="0"/>
              <w:rPr>
                <w:rFonts w:hint="eastAsia" w:asciiTheme="minorEastAsia" w:hAnsiTheme="minorEastAsia" w:eastAsiaTheme="minorEastAsia" w:cstheme="minorEastAsia"/>
                <w:sz w:val="18"/>
                <w:szCs w:val="18"/>
              </w:rPr>
            </w:pP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1D3AA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时效指标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6BCB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资金使用时限</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44A7E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定性</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B38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12</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EA79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月</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CECE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12</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CC84B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60122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0A4E5">
            <w:pPr>
              <w:pStyle w:val="13"/>
              <w:ind w:left="0" w:leftChars="0" w:firstLine="0" w:firstLineChars="0"/>
              <w:rPr>
                <w:rFonts w:hint="eastAsia" w:asciiTheme="minorEastAsia" w:hAnsiTheme="minorEastAsia" w:eastAsiaTheme="minorEastAsia" w:cstheme="minorEastAsia"/>
                <w:sz w:val="18"/>
                <w:szCs w:val="18"/>
              </w:rPr>
            </w:pPr>
          </w:p>
        </w:tc>
      </w:tr>
      <w:tr w14:paraId="31A1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9A62B">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50B6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效益指标</w:t>
            </w:r>
          </w:p>
        </w:tc>
        <w:tc>
          <w:tcPr>
            <w:tcW w:w="175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48B6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社会效益指标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CC47E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案件及时办结率</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12E40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C2F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85</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3F7B0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AF0F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85</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C5A10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74774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DDEE2">
            <w:pPr>
              <w:pStyle w:val="13"/>
              <w:ind w:left="0" w:leftChars="0" w:firstLine="0" w:firstLineChars="0"/>
              <w:rPr>
                <w:rFonts w:hint="eastAsia" w:asciiTheme="minorEastAsia" w:hAnsiTheme="minorEastAsia" w:eastAsiaTheme="minorEastAsia" w:cstheme="minorEastAsia"/>
                <w:sz w:val="18"/>
                <w:szCs w:val="18"/>
              </w:rPr>
            </w:pPr>
          </w:p>
        </w:tc>
      </w:tr>
      <w:tr w14:paraId="78A40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C0590">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0642C">
            <w:pPr>
              <w:pStyle w:val="13"/>
              <w:ind w:left="0" w:leftChars="0" w:firstLine="0" w:firstLineChars="0"/>
              <w:rPr>
                <w:rFonts w:hint="eastAsia" w:asciiTheme="minorEastAsia" w:hAnsiTheme="minorEastAsia" w:eastAsiaTheme="minorEastAsia" w:cstheme="minorEastAsia"/>
                <w:sz w:val="18"/>
                <w:szCs w:val="18"/>
              </w:rPr>
            </w:pPr>
          </w:p>
        </w:tc>
        <w:tc>
          <w:tcPr>
            <w:tcW w:w="17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CDAB3">
            <w:pPr>
              <w:pStyle w:val="13"/>
              <w:ind w:left="0" w:leftChars="0" w:firstLine="0" w:firstLineChars="0"/>
              <w:rPr>
                <w:rFonts w:hint="eastAsia" w:asciiTheme="minorEastAsia" w:hAnsiTheme="minorEastAsia" w:eastAsiaTheme="minorEastAsia" w:cstheme="minorEastAsia"/>
                <w:sz w:val="18"/>
                <w:szCs w:val="18"/>
              </w:rPr>
            </w:pP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F299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办案周期缩短率</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4926E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454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85</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97DB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C6E1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85</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301B3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6DD87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0A3BB">
            <w:pPr>
              <w:pStyle w:val="13"/>
              <w:ind w:left="0" w:leftChars="0" w:firstLine="0" w:firstLineChars="0"/>
              <w:rPr>
                <w:rFonts w:hint="eastAsia" w:asciiTheme="minorEastAsia" w:hAnsiTheme="minorEastAsia" w:eastAsiaTheme="minorEastAsia" w:cstheme="minorEastAsia"/>
                <w:sz w:val="18"/>
                <w:szCs w:val="18"/>
              </w:rPr>
            </w:pPr>
          </w:p>
        </w:tc>
      </w:tr>
      <w:tr w14:paraId="6FDA7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C114F">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4825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满意度指标</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2005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服务对象满意度指标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6F63E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服务对象满意度</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64763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392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90</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00731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15FB4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90</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1127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6B8B6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9C29A">
            <w:pPr>
              <w:pStyle w:val="13"/>
              <w:ind w:left="0" w:leftChars="0" w:firstLine="0" w:firstLineChars="0"/>
              <w:rPr>
                <w:rFonts w:hint="eastAsia" w:asciiTheme="minorEastAsia" w:hAnsiTheme="minorEastAsia" w:eastAsiaTheme="minorEastAsia" w:cstheme="minorEastAsia"/>
                <w:sz w:val="18"/>
                <w:szCs w:val="18"/>
              </w:rPr>
            </w:pPr>
          </w:p>
        </w:tc>
      </w:tr>
      <w:tr w14:paraId="74A53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72BB5">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ACCF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成本指标</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012D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经济成本指标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4B3E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项目总成本</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5CDFB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5F4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E68E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万元</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C58E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59.74</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17DEB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F78D0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1B563">
            <w:pPr>
              <w:pStyle w:val="13"/>
              <w:ind w:left="0" w:leftChars="0" w:firstLine="0" w:firstLineChars="0"/>
              <w:rPr>
                <w:rFonts w:hint="eastAsia" w:asciiTheme="minorEastAsia" w:hAnsiTheme="minorEastAsia" w:eastAsiaTheme="minorEastAsia" w:cstheme="minorEastAsia"/>
                <w:sz w:val="18"/>
                <w:szCs w:val="18"/>
              </w:rPr>
            </w:pPr>
          </w:p>
        </w:tc>
      </w:tr>
      <w:tr w14:paraId="4238C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0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3E8381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合计</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C29E1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0099F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22EAE">
            <w:pPr>
              <w:pStyle w:val="13"/>
              <w:ind w:left="0" w:leftChars="0" w:firstLine="0" w:firstLineChars="0"/>
              <w:rPr>
                <w:rFonts w:hint="eastAsia" w:asciiTheme="minorEastAsia" w:hAnsiTheme="minorEastAsia" w:eastAsiaTheme="minorEastAsia" w:cstheme="minorEastAsia"/>
                <w:sz w:val="18"/>
                <w:szCs w:val="18"/>
              </w:rPr>
            </w:pPr>
          </w:p>
        </w:tc>
      </w:tr>
      <w:tr w14:paraId="4FCC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F49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评价结论</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4828B90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我院自评得分100分，该项工作正常开展完成。</w:t>
            </w:r>
          </w:p>
        </w:tc>
      </w:tr>
      <w:tr w14:paraId="46D0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00E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存在问题</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2926A30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无</w:t>
            </w:r>
          </w:p>
        </w:tc>
      </w:tr>
      <w:tr w14:paraId="7BE60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C06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改进措施</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6B12288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无</w:t>
            </w:r>
          </w:p>
        </w:tc>
      </w:tr>
      <w:tr w14:paraId="071B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1411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3753F384">
            <w:pPr>
              <w:keepNext w:val="0"/>
              <w:keepLines w:val="0"/>
              <w:widowControl/>
              <w:suppressLineNumbers w:val="0"/>
              <w:jc w:val="center"/>
              <w:textAlignment w:val="center"/>
              <w:rPr>
                <w:rFonts w:hint="eastAsia" w:asciiTheme="minorEastAsia" w:hAnsiTheme="minorEastAsia" w:eastAsiaTheme="minorEastAsia" w:cstheme="minorEastAsia"/>
                <w:sz w:val="18"/>
                <w:szCs w:val="18"/>
                <w:lang w:val="en-US" w:eastAsia="zh-CN"/>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50DE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C4C7F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项目名称</w:t>
            </w:r>
          </w:p>
        </w:tc>
        <w:tc>
          <w:tcPr>
            <w:tcW w:w="11379"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41C9897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51320024T000010452554-州检察院人民监督员经费</w:t>
            </w:r>
          </w:p>
        </w:tc>
      </w:tr>
      <w:tr w14:paraId="74684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D4E9A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主管部门</w:t>
            </w:r>
          </w:p>
        </w:tc>
        <w:tc>
          <w:tcPr>
            <w:tcW w:w="67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51B12F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州检察院部门</w:t>
            </w:r>
          </w:p>
        </w:tc>
        <w:tc>
          <w:tcPr>
            <w:tcW w:w="1351" w:type="dxa"/>
            <w:gridSpan w:val="4"/>
            <w:tcBorders>
              <w:top w:val="nil"/>
              <w:left w:val="nil"/>
              <w:bottom w:val="nil"/>
              <w:right w:val="nil"/>
            </w:tcBorders>
            <w:shd w:val="clear" w:color="auto" w:fill="auto"/>
            <w:vAlign w:val="center"/>
          </w:tcPr>
          <w:p w14:paraId="7D3571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实施单位 （盖章）</w:t>
            </w:r>
          </w:p>
        </w:tc>
        <w:tc>
          <w:tcPr>
            <w:tcW w:w="328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38ED95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州检察院</w:t>
            </w:r>
          </w:p>
        </w:tc>
      </w:tr>
      <w:tr w14:paraId="27461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2916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项目基本情况</w:t>
            </w:r>
          </w:p>
        </w:tc>
        <w:tc>
          <w:tcPr>
            <w:tcW w:w="20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33C9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1.项目年度目标完成情况</w:t>
            </w:r>
          </w:p>
        </w:tc>
        <w:tc>
          <w:tcPr>
            <w:tcW w:w="67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8AF911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项目年度目标</w:t>
            </w:r>
          </w:p>
        </w:tc>
        <w:tc>
          <w:tcPr>
            <w:tcW w:w="46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E6CEA5">
            <w:pPr>
              <w:pStyle w:val="13"/>
              <w:ind w:left="0" w:leftChars="0" w:firstLine="0" w:firstLineChars="0"/>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年度目标完成情况</w:t>
            </w:r>
          </w:p>
        </w:tc>
      </w:tr>
      <w:tr w14:paraId="25796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538B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4E471">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67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4E50C4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保障人民监督员办公室负责组织开展州院人民监督相关工作，提高人民监督员工作效率，有效保障人民监督工作正常开展。提升司法监督透明度和公众参与度。</w:t>
            </w:r>
          </w:p>
        </w:tc>
        <w:tc>
          <w:tcPr>
            <w:tcW w:w="46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3CF2A2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我院2025年共计邀请人民监督员参与检察活动2批次</w:t>
            </w:r>
          </w:p>
        </w:tc>
      </w:tr>
      <w:tr w14:paraId="11C87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3ADC9">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1D86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2.项目实施内容及过程概述</w:t>
            </w:r>
          </w:p>
        </w:tc>
        <w:tc>
          <w:tcPr>
            <w:tcW w:w="11379"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52B18BE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我院充分认识人民监督员制度的重大意义，自觉接受人民群众对检察工作的全面监督，努力实现人民监督员监督工作包含检察听证、案件质量评查等十类监督方式全部覆盖。</w:t>
            </w:r>
          </w:p>
        </w:tc>
      </w:tr>
      <w:tr w14:paraId="11E26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1AE6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预算执行情况（10分）</w:t>
            </w: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EF19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年度预算数（万元）</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554AF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年初预算</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2956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调整后预算数</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C3D89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预算执行数</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9B8EB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预算执行率</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5B4D6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权重</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F5876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得分</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43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原因</w:t>
            </w:r>
          </w:p>
        </w:tc>
      </w:tr>
      <w:tr w14:paraId="1E88D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ACCAD">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80CC5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总额</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FF1E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7152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34351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30268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100.00%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1DC9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07C5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66836">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5A1AA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C724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D8DFC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其中：财政资金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FACB1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76BE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208DD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D0026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100.00%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FDDB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FF11C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54B9E">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3D7A9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F4D4F">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A4481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财政专户管理资金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627B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03C8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ADE93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FAA5E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94910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B57E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D161E">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30D6E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2DC46">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B850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单位资金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03F4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68BDE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1F032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7C2B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723E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2D9D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C7095">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48C05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A74DF">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A33D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其他资金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50CFD">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AC669B">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0BAF65">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31C3B">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4A9A5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5288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8EFA4">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56C13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B4A5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绩效指标（90分）</w:t>
            </w: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F3C5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一级指标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253E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二级指标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B1D5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4DF7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指标性质</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CE9D3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指标值</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6C85B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度量单位</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ADF60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完成值</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726D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权重</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BC773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得分</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B03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未完成原因分析</w:t>
            </w:r>
          </w:p>
        </w:tc>
      </w:tr>
      <w:tr w14:paraId="1F868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7D43B">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B0F5E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产出指标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7C02A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数量指标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3648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人民监督员工作次数</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8BF1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6DCC9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3AEB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次/年</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E69D5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81A6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F862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0590">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002AF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11B0C">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B1EC4">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8C5D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质量指标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D509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监督案件办理合规率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A1EB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4CB7C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95</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7F7C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4CC9C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95</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EDC26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8BA5A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EECF">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1428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C6FE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ABD5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16A1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时效指标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EDA5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监督事项办理及时率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2994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3C803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90</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E2BEA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FA8D5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BA69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FF9D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4A7E">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17CF1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E5AE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4D44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8759B">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BE33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开展监督员工作时长</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7779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A1112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BA17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小时</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94DE0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EF7F8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7283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3F12">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3C63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0DAD0">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4B42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效益指标</w:t>
            </w:r>
          </w:p>
        </w:tc>
        <w:tc>
          <w:tcPr>
            <w:tcW w:w="17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74DA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社会效益指标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02DA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人民监督员工作是否到位</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C6B9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14E40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到位</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6126D">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24FE1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到位</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9DBF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4FFD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1959">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68F9F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9E19F">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971D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FEC63">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53985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人民监督员工作影响</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8106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88B45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高</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E4E8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9D885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高</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218E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59BA5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5495">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27285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3B60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7866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满意度指标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39FD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服务对象满意度指标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B3D33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人大代表、政协委员满意度</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8AA9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1EF5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13B8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A55E5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D5BD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1587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25A9">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00DDD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7CC3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C38C8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成本指标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A694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经济成本指标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EBEB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项目总成本</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3CD1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34FF6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B38A5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万元</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1F24B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4D6C8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E8FEB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5D56">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6A71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0834"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73BFDEC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合计</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D912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A2C5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3C0D">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596D8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C60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评价结论</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73589A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我院自评得分100分，该项工作正常开展完成。</w:t>
            </w:r>
          </w:p>
        </w:tc>
      </w:tr>
      <w:tr w14:paraId="4210F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527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存在问题</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15A5A6F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r>
      <w:tr w14:paraId="15E0C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4D9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改进措施</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6B5C2E9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r>
      <w:tr w14:paraId="5DB7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411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24692B3B">
            <w:pPr>
              <w:keepNext w:val="0"/>
              <w:keepLines w:val="0"/>
              <w:widowControl/>
              <w:suppressLineNumbers w:val="0"/>
              <w:jc w:val="center"/>
              <w:textAlignment w:val="center"/>
              <w:rPr>
                <w:rFonts w:hint="eastAsia" w:asciiTheme="minorEastAsia" w:hAnsiTheme="minorEastAsia" w:eastAsiaTheme="minorEastAsia" w:cstheme="minorEastAsia"/>
                <w:sz w:val="18"/>
                <w:szCs w:val="18"/>
                <w:lang w:val="en-US" w:eastAsia="zh-CN"/>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BDA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203EC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项目名称</w:t>
            </w:r>
          </w:p>
        </w:tc>
        <w:tc>
          <w:tcPr>
            <w:tcW w:w="1137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F0E47F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51320024T000010452586-州检察院物业管理费用</w:t>
            </w:r>
          </w:p>
        </w:tc>
      </w:tr>
      <w:tr w14:paraId="2A172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BFF74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主管部门</w:t>
            </w:r>
          </w:p>
        </w:tc>
        <w:tc>
          <w:tcPr>
            <w:tcW w:w="676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B95480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州检察院部门</w:t>
            </w:r>
          </w:p>
        </w:tc>
        <w:tc>
          <w:tcPr>
            <w:tcW w:w="1095" w:type="dxa"/>
            <w:gridSpan w:val="2"/>
            <w:tcBorders>
              <w:top w:val="nil"/>
              <w:left w:val="nil"/>
              <w:bottom w:val="nil"/>
              <w:right w:val="nil"/>
            </w:tcBorders>
            <w:shd w:val="clear" w:color="auto" w:fill="auto"/>
            <w:vAlign w:val="center"/>
          </w:tcPr>
          <w:p w14:paraId="45ACC30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实施单位 （盖章）</w:t>
            </w:r>
          </w:p>
        </w:tc>
        <w:tc>
          <w:tcPr>
            <w:tcW w:w="35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30382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州检察院</w:t>
            </w:r>
          </w:p>
        </w:tc>
      </w:tr>
      <w:tr w14:paraId="43113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A7C1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项目基本情况</w:t>
            </w:r>
          </w:p>
        </w:tc>
        <w:tc>
          <w:tcPr>
            <w:tcW w:w="20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BEBB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1.项目年度目标完成情况</w:t>
            </w:r>
          </w:p>
        </w:tc>
        <w:tc>
          <w:tcPr>
            <w:tcW w:w="676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EAAEC0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项目年度目标</w:t>
            </w:r>
          </w:p>
        </w:tc>
        <w:tc>
          <w:tcPr>
            <w:tcW w:w="46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C359B5">
            <w:pPr>
              <w:pStyle w:val="13"/>
              <w:ind w:left="0" w:leftChars="0" w:firstLine="0" w:firstLineChars="0"/>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年度目标完成情况</w:t>
            </w:r>
          </w:p>
        </w:tc>
      </w:tr>
      <w:tr w14:paraId="758A5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D35F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7FBE6">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676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199423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阿坝州人民检察院2025年物业管理费80万元，保障我院后勤工作的正常运转，提升后勤服务质量和效率，</w:t>
            </w:r>
          </w:p>
        </w:tc>
        <w:tc>
          <w:tcPr>
            <w:tcW w:w="46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C0D790">
            <w:pPr>
              <w:pStyle w:val="13"/>
              <w:ind w:left="0" w:leftChars="0" w:firstLine="0" w:firstLineChars="0"/>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完成我院物业管理年度目标</w:t>
            </w:r>
          </w:p>
        </w:tc>
      </w:tr>
      <w:tr w14:paraId="149B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4485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9988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2.项目实施内容及过程概述</w:t>
            </w:r>
          </w:p>
        </w:tc>
        <w:tc>
          <w:tcPr>
            <w:tcW w:w="1137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36AC51A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与三方物管公司签订物管合同，保障我院机关日常运行和机关安保。按季度支付物业管理费用。</w:t>
            </w:r>
          </w:p>
        </w:tc>
      </w:tr>
      <w:tr w14:paraId="115C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81575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预算执行情况（10分）</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73EE2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年度预算数（万元）</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8849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年初预算</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67848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调整后预算数</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D6605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B143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预算执行率</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759B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权重</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0754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得分</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23FA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原因</w:t>
            </w:r>
          </w:p>
        </w:tc>
      </w:tr>
      <w:tr w14:paraId="4D09C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5BD33">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C446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总额</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071B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9060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80.00</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9C1E9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77.65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9E9D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97.06%</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3A94D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7FF9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A81F9">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57B42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07A9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B9F8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其中：财政资金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866C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0796F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80.00</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3FBA2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77.65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C5DB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97.06%</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37FE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8D59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5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4BF31">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34F5C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0D47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99F2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财政专户管理资金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4730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D6266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D9751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0372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99961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7F47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5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C5F92">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1FEA2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4A619">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CBEC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单位资金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81D26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9AD4F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3073D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6FCD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D99DF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2647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5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941AF">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5430F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5C682">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DD06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其他资金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E1C1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7A89E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8D2810">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A7511">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8013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90D8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5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86C5F">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20B08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35FD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绩效指标（90分）</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C644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一级指标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5732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二级指标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C79D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C98E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指标性质</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19D64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指标值</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DB25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36151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完成值</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3FB55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权重</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A75D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得分</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89D1C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未完成原因分析</w:t>
            </w:r>
          </w:p>
        </w:tc>
      </w:tr>
      <w:tr w14:paraId="0DCD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9CE52">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2A13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产出指标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CCA49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数量指标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3A38A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后勤工作人员数量</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D3EC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CAF75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461A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81EB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A605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F6AA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E7C55">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4811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4DC9C">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AEDB3">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40E7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质量指标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438D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后勤工作开展质量</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FAFC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8C976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好</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EE513">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3604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好</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1682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F003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D5DF60">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70E83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C9224">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099E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F619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6E284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保障办公环境及设施正常</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75CF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448E0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优</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402CD">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3AAB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优</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F3372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D2F5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D2CC0">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373E2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E896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1A19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1500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时效指标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A0AFD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物业服务响应及时率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1909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90A07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95</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FC0D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C4AD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95</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C495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7AA0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A6CCEC">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40C0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EFE5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7151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效益指标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A3C2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社会效益指标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88A1D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保障各项检察工作的顺利开展</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1839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0926B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保障程度高</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EDB9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6E45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保障程度高</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3418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9A5B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A27D0">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4276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A1F50">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9A6D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满意度指标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1A521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服务对象满意度指标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E54B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我院干警满意度</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C275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04192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D1FCF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F10D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AD81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6E3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EA32B">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0AE7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153E6">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DAED0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成本指标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715F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经济成本指标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0B4C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我院2025年物业管理费用</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00BF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E080C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EB8B9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FDB9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77.65</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1985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1D38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B489C">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5E108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5"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64425EE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合计</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362D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5C1E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23B34">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214B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3B08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评价结论</w:t>
            </w:r>
          </w:p>
        </w:tc>
        <w:tc>
          <w:tcPr>
            <w:tcW w:w="13425"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794ECE7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我院自评得分100分，该项工作正常开展完成。按照实际项目中标金额支付。</w:t>
            </w:r>
          </w:p>
        </w:tc>
      </w:tr>
      <w:tr w14:paraId="14A7C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E1FCA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存在问题</w:t>
            </w:r>
          </w:p>
        </w:tc>
        <w:tc>
          <w:tcPr>
            <w:tcW w:w="13425"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1AF43F2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r>
      <w:tr w14:paraId="6583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7A11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改进措施</w:t>
            </w:r>
          </w:p>
        </w:tc>
        <w:tc>
          <w:tcPr>
            <w:tcW w:w="13425"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034A00D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r>
    </w:tbl>
    <w:p w14:paraId="04C023D0">
      <w:pPr>
        <w:spacing w:line="578" w:lineRule="exact"/>
        <w:rPr>
          <w:rFonts w:hint="eastAsia" w:eastAsia="仿宋_GB2312" w:cs="仿宋_GB2312"/>
          <w:kern w:val="0"/>
          <w:sz w:val="32"/>
          <w:szCs w:val="32"/>
        </w:rPr>
        <w:sectPr>
          <w:footerReference r:id="rId9" w:type="default"/>
          <w:pgSz w:w="16838" w:h="11906" w:orient="landscape"/>
          <w:pgMar w:top="1800" w:right="1440" w:bottom="1800" w:left="1440" w:header="851" w:footer="992" w:gutter="0"/>
          <w:pgNumType w:fmt="decimal"/>
          <w:cols w:space="425" w:num="1"/>
          <w:docGrid w:type="lines" w:linePitch="312" w:charSpace="0"/>
        </w:sectPr>
      </w:pPr>
      <w:bookmarkStart w:id="56" w:name="_Toc15396618"/>
    </w:p>
    <w:p w14:paraId="5E7E1B35">
      <w:pPr>
        <w:spacing w:line="578" w:lineRule="exact"/>
        <w:jc w:val="center"/>
        <w:rPr>
          <w:rFonts w:eastAsia="仿宋"/>
        </w:rPr>
      </w:pPr>
      <w:r>
        <w:rPr>
          <w:rFonts w:hint="eastAsia" w:eastAsia="黑体"/>
          <w:sz w:val="44"/>
          <w:szCs w:val="44"/>
        </w:rPr>
        <w:t>第</w:t>
      </w:r>
      <w:r>
        <w:rPr>
          <w:rStyle w:val="29"/>
          <w:rFonts w:hint="eastAsia" w:eastAsia="黑体"/>
          <w:b w:val="0"/>
        </w:rPr>
        <w:t>五部分 附表</w:t>
      </w:r>
      <w:bookmarkEnd w:id="53"/>
      <w:bookmarkEnd w:id="56"/>
      <w:bookmarkStart w:id="57" w:name="_Toc15396619"/>
    </w:p>
    <w:p w14:paraId="2FDA02EB">
      <w:pPr>
        <w:pStyle w:val="14"/>
        <w:adjustRightInd w:val="0"/>
        <w:snapToGrid w:val="0"/>
        <w:spacing w:line="560" w:lineRule="exact"/>
        <w:jc w:val="left"/>
        <w:rPr>
          <w:rFonts w:eastAsia="仿宋_GB2312" w:cs="仿宋_GB2312"/>
          <w:sz w:val="32"/>
          <w:szCs w:val="32"/>
        </w:rPr>
      </w:pPr>
    </w:p>
    <w:p w14:paraId="26951558">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7"/>
    </w:p>
    <w:p w14:paraId="7FF2C8CF">
      <w:pPr>
        <w:pStyle w:val="14"/>
        <w:adjustRightInd w:val="0"/>
        <w:snapToGrid w:val="0"/>
        <w:spacing w:line="560" w:lineRule="exact"/>
        <w:jc w:val="left"/>
        <w:rPr>
          <w:rFonts w:eastAsia="仿宋_GB2312" w:cs="仿宋_GB2312"/>
          <w:sz w:val="32"/>
          <w:szCs w:val="32"/>
        </w:rPr>
      </w:pPr>
      <w:bookmarkStart w:id="58" w:name="_Toc15396620"/>
      <w:r>
        <w:rPr>
          <w:rFonts w:hint="eastAsia" w:eastAsia="仿宋_GB2312" w:cs="仿宋_GB2312"/>
          <w:sz w:val="32"/>
          <w:szCs w:val="32"/>
        </w:rPr>
        <w:t>二、收入决算表</w:t>
      </w:r>
      <w:bookmarkEnd w:id="58"/>
    </w:p>
    <w:p w14:paraId="43758DC6">
      <w:pPr>
        <w:pStyle w:val="14"/>
        <w:adjustRightInd w:val="0"/>
        <w:snapToGrid w:val="0"/>
        <w:spacing w:line="560" w:lineRule="exact"/>
        <w:jc w:val="left"/>
        <w:rPr>
          <w:rFonts w:eastAsia="仿宋_GB2312" w:cs="仿宋_GB2312"/>
          <w:sz w:val="32"/>
          <w:szCs w:val="32"/>
        </w:rPr>
      </w:pPr>
      <w:bookmarkStart w:id="59" w:name="_Toc15396621"/>
      <w:r>
        <w:rPr>
          <w:rFonts w:hint="eastAsia" w:eastAsia="仿宋_GB2312" w:cs="仿宋_GB2312"/>
          <w:sz w:val="32"/>
          <w:szCs w:val="32"/>
        </w:rPr>
        <w:t>三、支出决算表</w:t>
      </w:r>
      <w:bookmarkEnd w:id="59"/>
    </w:p>
    <w:p w14:paraId="43279A48">
      <w:pPr>
        <w:pStyle w:val="14"/>
        <w:adjustRightInd w:val="0"/>
        <w:snapToGrid w:val="0"/>
        <w:spacing w:line="560" w:lineRule="exact"/>
        <w:jc w:val="left"/>
        <w:rPr>
          <w:rFonts w:eastAsia="仿宋_GB2312" w:cs="仿宋_GB2312"/>
          <w:sz w:val="32"/>
          <w:szCs w:val="32"/>
        </w:rPr>
      </w:pPr>
      <w:bookmarkStart w:id="60" w:name="_Toc15396622"/>
      <w:r>
        <w:rPr>
          <w:rFonts w:hint="eastAsia" w:eastAsia="仿宋_GB2312" w:cs="仿宋_GB2312"/>
          <w:sz w:val="32"/>
          <w:szCs w:val="32"/>
        </w:rPr>
        <w:t>四、财政拨款收入支出决算总表</w:t>
      </w:r>
      <w:bookmarkEnd w:id="60"/>
    </w:p>
    <w:p w14:paraId="7E97716D">
      <w:pPr>
        <w:pStyle w:val="14"/>
        <w:adjustRightInd w:val="0"/>
        <w:snapToGrid w:val="0"/>
        <w:spacing w:line="560" w:lineRule="exact"/>
        <w:jc w:val="left"/>
        <w:rPr>
          <w:rFonts w:eastAsia="仿宋_GB2312" w:cs="仿宋_GB2312"/>
          <w:sz w:val="32"/>
          <w:szCs w:val="32"/>
        </w:rPr>
      </w:pPr>
      <w:bookmarkStart w:id="61" w:name="_Toc15396623"/>
      <w:r>
        <w:rPr>
          <w:rFonts w:hint="eastAsia" w:eastAsia="仿宋_GB2312" w:cs="仿宋_GB2312"/>
          <w:sz w:val="32"/>
          <w:szCs w:val="32"/>
        </w:rPr>
        <w:t>五、财政拨款支出决算明细表</w:t>
      </w:r>
      <w:bookmarkEnd w:id="61"/>
      <w:bookmarkStart w:id="62" w:name="_Toc15396624"/>
    </w:p>
    <w:p w14:paraId="40FC0E0B">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2"/>
    </w:p>
    <w:p w14:paraId="32B62D3B">
      <w:pPr>
        <w:pStyle w:val="14"/>
        <w:adjustRightInd w:val="0"/>
        <w:snapToGrid w:val="0"/>
        <w:spacing w:line="560" w:lineRule="exact"/>
        <w:jc w:val="left"/>
        <w:rPr>
          <w:rFonts w:eastAsia="仿宋_GB2312" w:cs="仿宋_GB2312"/>
          <w:sz w:val="32"/>
          <w:szCs w:val="32"/>
        </w:rPr>
      </w:pPr>
      <w:bookmarkStart w:id="63" w:name="_Toc15396625"/>
      <w:r>
        <w:rPr>
          <w:rFonts w:hint="eastAsia" w:eastAsia="仿宋_GB2312" w:cs="仿宋_GB2312"/>
          <w:sz w:val="32"/>
          <w:szCs w:val="32"/>
        </w:rPr>
        <w:t>七、一般公共预算财政拨款支出决算明细表</w:t>
      </w:r>
      <w:bookmarkEnd w:id="63"/>
    </w:p>
    <w:p w14:paraId="01DACEEC">
      <w:pPr>
        <w:pStyle w:val="14"/>
        <w:adjustRightInd w:val="0"/>
        <w:snapToGrid w:val="0"/>
        <w:spacing w:line="560" w:lineRule="exact"/>
        <w:jc w:val="left"/>
        <w:rPr>
          <w:rFonts w:eastAsia="仿宋_GB2312" w:cs="仿宋_GB2312"/>
          <w:sz w:val="32"/>
          <w:szCs w:val="32"/>
        </w:rPr>
      </w:pPr>
      <w:bookmarkStart w:id="64" w:name="_Toc15396626"/>
      <w:r>
        <w:rPr>
          <w:rFonts w:hint="eastAsia" w:eastAsia="仿宋_GB2312" w:cs="仿宋_GB2312"/>
          <w:sz w:val="32"/>
          <w:szCs w:val="32"/>
        </w:rPr>
        <w:t>八、一般公共预算财政拨款基本支出决算表</w:t>
      </w:r>
      <w:bookmarkEnd w:id="64"/>
    </w:p>
    <w:p w14:paraId="3AB8473B">
      <w:pPr>
        <w:pStyle w:val="14"/>
        <w:adjustRightInd w:val="0"/>
        <w:snapToGrid w:val="0"/>
        <w:spacing w:line="560" w:lineRule="exact"/>
        <w:jc w:val="left"/>
        <w:rPr>
          <w:rFonts w:eastAsia="仿宋_GB2312" w:cs="仿宋_GB2312"/>
          <w:sz w:val="32"/>
          <w:szCs w:val="32"/>
        </w:rPr>
      </w:pPr>
      <w:bookmarkStart w:id="65" w:name="_Toc15396627"/>
      <w:r>
        <w:rPr>
          <w:rFonts w:hint="eastAsia" w:eastAsia="仿宋_GB2312" w:cs="仿宋_GB2312"/>
          <w:sz w:val="32"/>
          <w:szCs w:val="32"/>
        </w:rPr>
        <w:t>九、一般公共预算财政拨款项目支出决算表</w:t>
      </w:r>
      <w:bookmarkEnd w:id="65"/>
    </w:p>
    <w:p w14:paraId="4965B03D">
      <w:pPr>
        <w:pStyle w:val="14"/>
        <w:adjustRightInd w:val="0"/>
        <w:snapToGrid w:val="0"/>
        <w:spacing w:line="560" w:lineRule="exact"/>
        <w:jc w:val="left"/>
        <w:rPr>
          <w:rFonts w:eastAsia="仿宋_GB2312" w:cs="仿宋_GB2312"/>
          <w:sz w:val="32"/>
          <w:szCs w:val="32"/>
        </w:rPr>
      </w:pPr>
      <w:bookmarkStart w:id="66" w:name="_Toc15396628"/>
      <w:r>
        <w:rPr>
          <w:rFonts w:hint="eastAsia" w:eastAsia="仿宋_GB2312" w:cs="仿宋_GB2312"/>
          <w:sz w:val="32"/>
          <w:szCs w:val="32"/>
        </w:rPr>
        <w:t>十、</w:t>
      </w:r>
      <w:bookmarkEnd w:id="66"/>
      <w:r>
        <w:rPr>
          <w:rFonts w:hint="eastAsia" w:eastAsia="仿宋_GB2312" w:cs="仿宋_GB2312"/>
          <w:sz w:val="32"/>
          <w:szCs w:val="32"/>
        </w:rPr>
        <w:t>政府性基金预算财政拨款收入支出决算表</w:t>
      </w:r>
    </w:p>
    <w:p w14:paraId="767B73E5">
      <w:pPr>
        <w:pStyle w:val="14"/>
        <w:adjustRightInd w:val="0"/>
        <w:snapToGrid w:val="0"/>
        <w:spacing w:line="560" w:lineRule="exact"/>
        <w:jc w:val="left"/>
        <w:rPr>
          <w:rFonts w:eastAsia="仿宋_GB2312" w:cs="仿宋_GB2312"/>
          <w:sz w:val="32"/>
          <w:szCs w:val="32"/>
        </w:rPr>
      </w:pPr>
      <w:bookmarkStart w:id="67" w:name="_Toc15396629"/>
      <w:r>
        <w:rPr>
          <w:rFonts w:hint="eastAsia" w:eastAsia="仿宋_GB2312" w:cs="仿宋_GB2312"/>
          <w:sz w:val="32"/>
          <w:szCs w:val="32"/>
        </w:rPr>
        <w:t>十一、</w:t>
      </w:r>
      <w:bookmarkEnd w:id="67"/>
      <w:r>
        <w:rPr>
          <w:rFonts w:hint="eastAsia" w:eastAsia="仿宋_GB2312" w:cs="仿宋_GB2312"/>
          <w:sz w:val="32"/>
          <w:szCs w:val="32"/>
        </w:rPr>
        <w:t>国有资本经营预算财政拨款收入支出决算表</w:t>
      </w:r>
    </w:p>
    <w:p w14:paraId="75739816">
      <w:pPr>
        <w:pStyle w:val="14"/>
        <w:adjustRightInd w:val="0"/>
        <w:snapToGrid w:val="0"/>
        <w:spacing w:line="560" w:lineRule="exact"/>
        <w:jc w:val="left"/>
        <w:rPr>
          <w:rFonts w:eastAsia="仿宋_GB2312" w:cs="仿宋_GB2312"/>
          <w:sz w:val="32"/>
          <w:szCs w:val="32"/>
        </w:rPr>
      </w:pPr>
      <w:bookmarkStart w:id="68" w:name="_Toc15396630"/>
      <w:r>
        <w:rPr>
          <w:rFonts w:hint="eastAsia" w:eastAsia="仿宋_GB2312" w:cs="仿宋_GB2312"/>
          <w:sz w:val="32"/>
          <w:szCs w:val="32"/>
        </w:rPr>
        <w:t>十二、</w:t>
      </w:r>
      <w:bookmarkEnd w:id="68"/>
      <w:r>
        <w:rPr>
          <w:rFonts w:hint="eastAsia" w:eastAsia="仿宋_GB2312" w:cs="仿宋_GB2312"/>
          <w:sz w:val="32"/>
          <w:szCs w:val="32"/>
        </w:rPr>
        <w:t>国有资本经营预算财政拨款支出决算表</w:t>
      </w:r>
    </w:p>
    <w:p w14:paraId="1EEBF4A7">
      <w:pPr>
        <w:pStyle w:val="14"/>
        <w:adjustRightInd w:val="0"/>
        <w:snapToGrid w:val="0"/>
        <w:spacing w:line="560" w:lineRule="exact"/>
        <w:jc w:val="left"/>
        <w:rPr>
          <w:rFonts w:eastAsia="仿宋_GB2312" w:cs="仿宋_GB2312"/>
          <w:sz w:val="32"/>
          <w:szCs w:val="32"/>
        </w:rPr>
      </w:pPr>
      <w:bookmarkStart w:id="69" w:name="_Toc15396631"/>
      <w:r>
        <w:rPr>
          <w:rFonts w:hint="eastAsia" w:eastAsia="仿宋_GB2312" w:cs="仿宋_GB2312"/>
          <w:sz w:val="32"/>
          <w:szCs w:val="32"/>
        </w:rPr>
        <w:t>十三、</w:t>
      </w:r>
      <w:bookmarkEnd w:id="69"/>
      <w:r>
        <w:rPr>
          <w:rFonts w:hint="eastAsia" w:eastAsia="仿宋_GB2312" w:cs="仿宋_GB2312"/>
          <w:sz w:val="32"/>
          <w:szCs w:val="32"/>
        </w:rPr>
        <w:t>财政拨款“三公”经费支出决算表</w:t>
      </w:r>
    </w:p>
    <w:p w14:paraId="5011411C"/>
    <w:sectPr>
      <w:footerReference r:id="rId1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方正楷体_GBK">
    <w:altName w:val="Arial Unicode MS"/>
    <w:panose1 w:val="02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58126">
    <w:pPr>
      <w:pStyle w:val="9"/>
      <w:jc w:val="center"/>
    </w:pPr>
  </w:p>
  <w:p w14:paraId="6E109F6B">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14A74">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3F6FF">
    <w:pPr>
      <w:pStyle w:val="9"/>
      <w:jc w:val="center"/>
    </w:pPr>
  </w:p>
  <w:p w14:paraId="49DB3FBD">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1A72B">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774B6D8">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5774B6D8">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C95DF">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2541">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qVKztYAAAAGAQAADwAAAAAAAAABACAAAAAiAAAAZHJzL2Rvd25y&#10;ZXYueG1sUEsBAhQAFAAAAAgAh07iQB4SQQg5AgAAbQQAAA4AAAAAAAAAAQAgAAAAJQEAAGRycy9l&#10;Mm9Eb2MueG1sUEsFBgAAAAAGAAYAWQEAANAFAAAAAA==&#10;">
              <v:fill on="f" focussize="0,0"/>
              <v:stroke on="f" weight="0.5pt"/>
              <v:imagedata o:title=""/>
              <o:lock v:ext="edit" aspectratio="f"/>
              <v:textbox inset="16pt,0mm,16pt,0mm" style="mso-fit-shape-to-text:t;">
                <w:txbxContent>
                  <w:p w14:paraId="47342541">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2527AC5D">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8DE7">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posOffset>-327660</wp:posOffset>
              </wp:positionH>
              <wp:positionV relativeFrom="margin">
                <wp:align>outside</wp:align>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4C427">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eaVert" wrap="none" lIns="0" tIns="203200" rIns="0" bIns="20320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8pt;height:144pt;width:144pt;mso-position-horizontal-relative:margin;mso-position-vertical:outside;mso-position-vertical-relative:margin;mso-wrap-style:none;z-index:251661312;mso-width-relative:page;mso-height-relative:page;" filled="f" stroked="f" coordsize="21600,21600" o:gfxdata="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5tpbXdYAAAAIAQAADwAAAAAAAAABACAAAAAiAAAAZHJzL2Rv&#10;d25yZXYueG1sUEsBAhQAFAAAAAgAh07iQJ32wpE8AgAAbwQAAA4AAAAAAAAAAQAgAAAAJQEAAGRy&#10;cy9lMm9Eb2MueG1sUEsFBgAAAAAGAAYAWQEAANMFAAAAAA==&#10;">
              <v:fill on="f" focussize="0,0"/>
              <v:stroke on="f" weight="0.5pt"/>
              <v:imagedata o:title=""/>
              <o:lock v:ext="edit" aspectratio="f"/>
              <v:textbox inset="0mm,16pt,0mm,16pt" style="layout-flow:vertical-ideographic;mso-fit-shape-to-text:t;">
                <w:txbxContent>
                  <w:p w14:paraId="43F4C427">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5F0A0A53">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13BA2">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B4532">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2336;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4Cp8IzgCAABtBAAADgAAAAAAAAABACAAAAAlAQAAZHJzL2Uy&#10;b0RvYy54bWxQSwUGAAAAAAYABgBZAQAAzwUAAAAA&#10;">
              <v:fill on="f" focussize="0,0"/>
              <v:stroke on="f" weight="0.5pt"/>
              <v:imagedata o:title=""/>
              <o:lock v:ext="edit" aspectratio="f"/>
              <v:textbox inset="16pt,0mm,16pt,0mm" style="mso-fit-shape-to-text:t;">
                <w:txbxContent>
                  <w:p w14:paraId="400B4532">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2C3893C7">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5E6DB">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78A0"/>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A61BE"/>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4756"/>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6F3E34A"/>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6A5532"/>
    <w:rsid w:val="1FF35744"/>
    <w:rsid w:val="1FF37F8E"/>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2FFBAD4C"/>
    <w:rsid w:val="319F7F4E"/>
    <w:rsid w:val="321B2544"/>
    <w:rsid w:val="3304709D"/>
    <w:rsid w:val="34281836"/>
    <w:rsid w:val="349D6851"/>
    <w:rsid w:val="35BA6CAF"/>
    <w:rsid w:val="364D14C1"/>
    <w:rsid w:val="36AA5135"/>
    <w:rsid w:val="36BE0DA7"/>
    <w:rsid w:val="376B6AA6"/>
    <w:rsid w:val="376D39B2"/>
    <w:rsid w:val="37E16F03"/>
    <w:rsid w:val="37EFFF83"/>
    <w:rsid w:val="37F53A3B"/>
    <w:rsid w:val="389B6C89"/>
    <w:rsid w:val="38D469F0"/>
    <w:rsid w:val="39627CCD"/>
    <w:rsid w:val="397BAF1F"/>
    <w:rsid w:val="3AB79AF3"/>
    <w:rsid w:val="3B7EF35A"/>
    <w:rsid w:val="3B9FDB6C"/>
    <w:rsid w:val="3BF5BC2F"/>
    <w:rsid w:val="3CBAD41F"/>
    <w:rsid w:val="3CEBA265"/>
    <w:rsid w:val="3D98207C"/>
    <w:rsid w:val="3D9B0D99"/>
    <w:rsid w:val="3DEE7CF3"/>
    <w:rsid w:val="3DF02244"/>
    <w:rsid w:val="3DFF4843"/>
    <w:rsid w:val="3E78745D"/>
    <w:rsid w:val="3EFFB068"/>
    <w:rsid w:val="3FBF6E28"/>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4CBB24"/>
    <w:rsid w:val="5BDD79E6"/>
    <w:rsid w:val="5BEB310D"/>
    <w:rsid w:val="5BF561CA"/>
    <w:rsid w:val="5BFF5DFC"/>
    <w:rsid w:val="5CD71FC4"/>
    <w:rsid w:val="5D1F11B5"/>
    <w:rsid w:val="5DAE1B18"/>
    <w:rsid w:val="5DE7D9E5"/>
    <w:rsid w:val="5EBF9538"/>
    <w:rsid w:val="5ECEC941"/>
    <w:rsid w:val="5EFF9ACE"/>
    <w:rsid w:val="5F493CB7"/>
    <w:rsid w:val="5FBF9FF3"/>
    <w:rsid w:val="5FCD4E2C"/>
    <w:rsid w:val="5FD15F49"/>
    <w:rsid w:val="5FEF394A"/>
    <w:rsid w:val="5FF67715"/>
    <w:rsid w:val="62BF3928"/>
    <w:rsid w:val="63F93A2C"/>
    <w:rsid w:val="647F5392"/>
    <w:rsid w:val="664B1D71"/>
    <w:rsid w:val="676F6D26"/>
    <w:rsid w:val="67A7DFA5"/>
    <w:rsid w:val="67AA3209"/>
    <w:rsid w:val="681C4F0D"/>
    <w:rsid w:val="69046D0F"/>
    <w:rsid w:val="698D0931"/>
    <w:rsid w:val="6A993CED"/>
    <w:rsid w:val="6B053271"/>
    <w:rsid w:val="6BCE6674"/>
    <w:rsid w:val="6C4A05C8"/>
    <w:rsid w:val="6C8742B8"/>
    <w:rsid w:val="6C8A170F"/>
    <w:rsid w:val="6CB54609"/>
    <w:rsid w:val="6DBF5E93"/>
    <w:rsid w:val="6DEFE7B8"/>
    <w:rsid w:val="6DFF077E"/>
    <w:rsid w:val="6E7E3605"/>
    <w:rsid w:val="6E7FDCC7"/>
    <w:rsid w:val="6ED6A62E"/>
    <w:rsid w:val="6EE00B15"/>
    <w:rsid w:val="6EFDB42C"/>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9F329E"/>
    <w:rsid w:val="75DEEEC2"/>
    <w:rsid w:val="76E3355F"/>
    <w:rsid w:val="76FF5125"/>
    <w:rsid w:val="776F6FFA"/>
    <w:rsid w:val="778769C8"/>
    <w:rsid w:val="77DC22F5"/>
    <w:rsid w:val="79086DAD"/>
    <w:rsid w:val="79974F09"/>
    <w:rsid w:val="79D7FD79"/>
    <w:rsid w:val="79EE5BA4"/>
    <w:rsid w:val="7A894339"/>
    <w:rsid w:val="7AFF7572"/>
    <w:rsid w:val="7B6C7DFB"/>
    <w:rsid w:val="7BAB5309"/>
    <w:rsid w:val="7BBFBED0"/>
    <w:rsid w:val="7BC3E394"/>
    <w:rsid w:val="7BEFDEA8"/>
    <w:rsid w:val="7C1F3737"/>
    <w:rsid w:val="7CBFC87B"/>
    <w:rsid w:val="7CFE0F48"/>
    <w:rsid w:val="7D7721CD"/>
    <w:rsid w:val="7D7EC23E"/>
    <w:rsid w:val="7D916348"/>
    <w:rsid w:val="7E758727"/>
    <w:rsid w:val="7E8ADEBF"/>
    <w:rsid w:val="7EEF11D3"/>
    <w:rsid w:val="7F0971A6"/>
    <w:rsid w:val="7F3F679B"/>
    <w:rsid w:val="7F4FC4EF"/>
    <w:rsid w:val="7F5E4D54"/>
    <w:rsid w:val="7F6E0135"/>
    <w:rsid w:val="7F954DBA"/>
    <w:rsid w:val="7F957C66"/>
    <w:rsid w:val="7F9F079D"/>
    <w:rsid w:val="7FA30C79"/>
    <w:rsid w:val="7FAF8ABF"/>
    <w:rsid w:val="7FB7269E"/>
    <w:rsid w:val="7FB90BC6"/>
    <w:rsid w:val="7FC96657"/>
    <w:rsid w:val="7FDA9588"/>
    <w:rsid w:val="7FDF220F"/>
    <w:rsid w:val="7FE3E773"/>
    <w:rsid w:val="7FEDC5F7"/>
    <w:rsid w:val="7FEDD9DE"/>
    <w:rsid w:val="7FF5890D"/>
    <w:rsid w:val="7FF93490"/>
    <w:rsid w:val="7FFED764"/>
    <w:rsid w:val="8B7621F5"/>
    <w:rsid w:val="99FF2014"/>
    <w:rsid w:val="A57FFAEC"/>
    <w:rsid w:val="A63F1D66"/>
    <w:rsid w:val="A6DD0D7F"/>
    <w:rsid w:val="ADC6F725"/>
    <w:rsid w:val="AFB13349"/>
    <w:rsid w:val="B7CF06AB"/>
    <w:rsid w:val="B7CFA926"/>
    <w:rsid w:val="B7F8786B"/>
    <w:rsid w:val="BABB6AA1"/>
    <w:rsid w:val="BB2F4199"/>
    <w:rsid w:val="BD079C78"/>
    <w:rsid w:val="BD3B8C6D"/>
    <w:rsid w:val="BD733540"/>
    <w:rsid w:val="BE7A0F59"/>
    <w:rsid w:val="BF3735D5"/>
    <w:rsid w:val="BF7F09AC"/>
    <w:rsid w:val="BFD475C3"/>
    <w:rsid w:val="BFDE5EA6"/>
    <w:rsid w:val="CF6FC6F3"/>
    <w:rsid w:val="CFD3D3D7"/>
    <w:rsid w:val="CFDF1009"/>
    <w:rsid w:val="D7D7B16A"/>
    <w:rsid w:val="D7EB5B62"/>
    <w:rsid w:val="D8D6DB89"/>
    <w:rsid w:val="D95DE43D"/>
    <w:rsid w:val="DB6F4CAB"/>
    <w:rsid w:val="DB777682"/>
    <w:rsid w:val="DD1FB521"/>
    <w:rsid w:val="DEFBFEAE"/>
    <w:rsid w:val="DF1F3B80"/>
    <w:rsid w:val="DF6F9789"/>
    <w:rsid w:val="DFFFA9E8"/>
    <w:rsid w:val="E5F4E9DC"/>
    <w:rsid w:val="E70FE695"/>
    <w:rsid w:val="EBEEC013"/>
    <w:rsid w:val="ECFED1BC"/>
    <w:rsid w:val="ED1D69BB"/>
    <w:rsid w:val="ED7FD312"/>
    <w:rsid w:val="EF53993F"/>
    <w:rsid w:val="EF6FD633"/>
    <w:rsid w:val="EFBFB2F4"/>
    <w:rsid w:val="EFBFFA21"/>
    <w:rsid w:val="EFDF26C2"/>
    <w:rsid w:val="F2BEBCB8"/>
    <w:rsid w:val="F36FB518"/>
    <w:rsid w:val="F3DE1A04"/>
    <w:rsid w:val="F3F722E5"/>
    <w:rsid w:val="F77A1C75"/>
    <w:rsid w:val="F9747FB7"/>
    <w:rsid w:val="FA5F1E70"/>
    <w:rsid w:val="FA5FDB97"/>
    <w:rsid w:val="FB7F486A"/>
    <w:rsid w:val="FBFF5B2E"/>
    <w:rsid w:val="FD78E979"/>
    <w:rsid w:val="FD7FFE2B"/>
    <w:rsid w:val="FDEE196B"/>
    <w:rsid w:val="FDFE6575"/>
    <w:rsid w:val="FE7CC119"/>
    <w:rsid w:val="FEDFDDC2"/>
    <w:rsid w:val="FEED32F6"/>
    <w:rsid w:val="FEF781DD"/>
    <w:rsid w:val="FF3F7E3F"/>
    <w:rsid w:val="FFB741F4"/>
    <w:rsid w:val="FFBA12D7"/>
    <w:rsid w:val="FFDFFAEE"/>
    <w:rsid w:val="FFE6816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正文-公1"/>
    <w:basedOn w:val="37"/>
    <w:next w:val="1"/>
    <w:qFormat/>
    <w:uiPriority w:val="0"/>
    <w:pPr>
      <w:ind w:firstLine="200" w:firstLineChars="200"/>
    </w:pPr>
  </w:style>
  <w:style w:type="paragraph" w:customStyle="1" w:styleId="3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列出段落1"/>
    <w:basedOn w:val="1"/>
    <w:qFormat/>
    <w:uiPriority w:val="34"/>
    <w:pPr>
      <w:ind w:firstLine="420" w:firstLineChars="200"/>
    </w:pPr>
  </w:style>
  <w:style w:type="character" w:customStyle="1" w:styleId="39">
    <w:name w:val="16"/>
    <w:basedOn w:val="17"/>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altLang="en-US">
                <a:latin typeface="黑体" panose="02010609060101010101" charset="-122"/>
                <a:ea typeface="黑体" panose="02010609060101010101" charset="-122"/>
                <a:cs typeface="黑体" panose="02010609060101010101" charset="-122"/>
                <a:sym typeface="黑体" panose="02010609060101010101" charset="-122"/>
              </a:rPr>
              <a:t>收入、支出决算总计变动情况表</a:t>
            </a:r>
            <a:r>
              <a:rPr lang="en-US" altLang="zh-CN">
                <a:latin typeface="黑体" panose="02010609060101010101" charset="-122"/>
                <a:ea typeface="黑体" panose="02010609060101010101" charset="-122"/>
                <a:cs typeface="黑体" panose="02010609060101010101" charset="-122"/>
                <a:sym typeface="黑体" panose="02010609060101010101" charset="-122"/>
              </a:rPr>
              <a:t>                                     </a:t>
            </a:r>
            <a:r>
              <a:rPr altLang="en-US">
                <a:latin typeface="黑体" panose="02010609060101010101" charset="-122"/>
                <a:ea typeface="黑体" panose="02010609060101010101" charset="-122"/>
                <a:cs typeface="黑体" panose="02010609060101010101" charset="-122"/>
                <a:sym typeface="黑体" panose="02010609060101010101" charset="-122"/>
              </a:rPr>
              <a:t>单位：万元</a:t>
            </a:r>
            <a:endParaRPr altLang="en-US">
              <a:latin typeface="黑体" panose="02010609060101010101" charset="-122"/>
              <a:ea typeface="黑体" panose="02010609060101010101" charset="-122"/>
              <a:cs typeface="黑体" panose="02010609060101010101" charset="-122"/>
              <a:sym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收入总计</c:v>
                </c:pt>
              </c:strCache>
            </c:strRef>
          </c:tx>
          <c:spPr>
            <a:solidFill>
              <a:schemeClr val="accent1"/>
            </a:solidFill>
            <a:ln>
              <a:noFill/>
            </a:ln>
            <a:effectLst/>
          </c:spPr>
          <c:invertIfNegative val="0"/>
          <c:dLbls>
            <c:delete val="1"/>
          </c:dLbls>
          <c:cat>
            <c:multiLvlStrRef>
              <c:f>Sheet1!$A$2:$C$4</c:f>
              <c:multiLvlStrCache>
                <c:ptCount val="3"/>
                <c:lvl>
                  <c:pt idx="0">
                    <c:v>3786.97</c:v>
                  </c:pt>
                  <c:pt idx="1">
                    <c:v>3786.97</c:v>
                  </c:pt>
                </c:lvl>
                <c:lvl>
                  <c:pt idx="0">
                    <c:v>4301.56</c:v>
                  </c:pt>
                  <c:pt idx="1">
                    <c:v>4301.56</c:v>
                  </c:pt>
                </c:lvl>
                <c:lvl>
                  <c:pt idx="0">
                    <c:v>2024年</c:v>
                  </c:pt>
                  <c:pt idx="1">
                    <c:v>2025年</c:v>
                  </c:pt>
                </c:lvl>
              </c:multiLvlStrCache>
            </c:multiLvlStrRef>
          </c:cat>
          <c:val>
            <c:numRef>
              <c:f>Sheet1!$B$2:$B$3</c:f>
              <c:numCache>
                <c:formatCode>General</c:formatCode>
                <c:ptCount val="2"/>
                <c:pt idx="0">
                  <c:v>4301.56</c:v>
                </c:pt>
                <c:pt idx="1">
                  <c:v>4301.56</c:v>
                </c:pt>
              </c:numCache>
            </c:numRef>
          </c:val>
        </c:ser>
        <c:ser>
          <c:idx val="1"/>
          <c:order val="1"/>
          <c:tx>
            <c:strRef>
              <c:f>Sheet1!$C$1</c:f>
              <c:strCache>
                <c:ptCount val="1"/>
                <c:pt idx="0">
                  <c:v>支出总计</c:v>
                </c:pt>
              </c:strCache>
            </c:strRef>
          </c:tx>
          <c:spPr>
            <a:solidFill>
              <a:schemeClr val="accent1">
                <a:lumMod val="40000"/>
                <a:lumOff val="60000"/>
              </a:schemeClr>
            </a:solidFill>
            <a:ln>
              <a:noFill/>
            </a:ln>
            <a:effectLst/>
          </c:spPr>
          <c:invertIfNegative val="0"/>
          <c:dLbls>
            <c:delete val="1"/>
          </c:dLbls>
          <c:cat>
            <c:multiLvlStrRef>
              <c:f>Sheet1!$A$2:$C$4</c:f>
              <c:multiLvlStrCache>
                <c:ptCount val="3"/>
                <c:lvl>
                  <c:pt idx="0">
                    <c:v>3786.97</c:v>
                  </c:pt>
                  <c:pt idx="1">
                    <c:v>3786.97</c:v>
                  </c:pt>
                </c:lvl>
                <c:lvl>
                  <c:pt idx="0">
                    <c:v>4301.56</c:v>
                  </c:pt>
                  <c:pt idx="1">
                    <c:v>4301.56</c:v>
                  </c:pt>
                </c:lvl>
                <c:lvl>
                  <c:pt idx="0">
                    <c:v>2024年</c:v>
                  </c:pt>
                  <c:pt idx="1">
                    <c:v>2025年</c:v>
                  </c:pt>
                </c:lvl>
              </c:multiLvlStrCache>
            </c:multiLvlStrRef>
          </c:cat>
          <c:val>
            <c:numRef>
              <c:f>Sheet1!$C$2:$C$3</c:f>
              <c:numCache>
                <c:formatCode>General</c:formatCode>
                <c:ptCount val="2"/>
                <c:pt idx="0">
                  <c:v>3786.97</c:v>
                </c:pt>
                <c:pt idx="1">
                  <c:v>3786.97</c:v>
                </c:pt>
              </c:numCache>
            </c:numRef>
          </c:val>
        </c:ser>
        <c:dLbls>
          <c:showLegendKey val="0"/>
          <c:showVal val="0"/>
          <c:showCatName val="0"/>
          <c:showSerName val="0"/>
          <c:showPercent val="0"/>
          <c:showBubbleSize val="0"/>
        </c:dLbls>
        <c:gapWidth val="246"/>
        <c:overlap val="-28"/>
        <c:axId val="860030508"/>
        <c:axId val="997093873"/>
      </c:barChart>
      <c:catAx>
        <c:axId val="860030508"/>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crossAx val="997093873"/>
        <c:crosses val="autoZero"/>
        <c:auto val="1"/>
        <c:lblAlgn val="ctr"/>
        <c:lblOffset val="100"/>
        <c:noMultiLvlLbl val="0"/>
      </c:catAx>
      <c:valAx>
        <c:axId val="9970938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crossAx val="860030508"/>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legend>
    <c:plotVisOnly val="1"/>
    <c:dispBlanksAs val="gap"/>
    <c:showDLblsOverMax val="0"/>
    <c:extLst>
      <c:ext uri="{0b15fc19-7d7d-44ad-8c2d-2c3a37ce22c3}">
        <chartProps xmlns="https://web.wps.cn/et/2018/main" chartId="{b2c7b195-77c4-4a2e-88fa-e930418ea452}"/>
      </c:ext>
    </c:extLst>
  </c:chart>
  <c:spPr>
    <a:solidFill>
      <a:schemeClr val="bg1"/>
    </a:solidFill>
    <a:ln w="9525" cap="flat" cmpd="sng" algn="ctr">
      <a:solidFill>
        <a:schemeClr val="tx1">
          <a:lumMod val="15000"/>
          <a:lumOff val="85000"/>
        </a:schemeClr>
      </a:solidFill>
      <a:round/>
    </a:ln>
    <a:effectLst/>
  </c:spPr>
  <c:txPr>
    <a:bodyPr/>
    <a:lstStyle/>
    <a:p>
      <a:pPr>
        <a:defRPr lang="zh-CN">
          <a:latin typeface="黑体" panose="02010609060101010101" charset="-122"/>
          <a:ea typeface="黑体" panose="02010609060101010101" charset="-122"/>
          <a:cs typeface="黑体" panose="02010609060101010101" charset="-122"/>
          <a:sym typeface="黑体" panose="0201060906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manualLayout>
          <c:xMode val="edge"/>
          <c:yMode val="edge"/>
          <c:x val="0.358782314568736"/>
          <c:y val="0.0382490437739057"/>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dLbl>
              <c:idx val="0"/>
              <c:layout>
                <c:manualLayout>
                  <c:x val="0.0616084298029767"/>
                  <c:y val="-0.35797059792232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0%</c:formatCode>
                <c:ptCount val="1"/>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3fb0bda-c5f7-427b-bdb9-db6aea680f3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manualLayout>
          <c:xMode val="edge"/>
          <c:yMode val="edge"/>
          <c:x val="0.367842474027543"/>
          <c:y val="0.0318742031449214"/>
        </c:manualLayout>
      </c:layout>
      <c:overlay val="0"/>
      <c:spPr>
        <a:noFill/>
        <a:ln>
          <a:noFill/>
        </a:ln>
        <a:effectLst/>
      </c:sp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solidFill>
                  <a:schemeClr val="bg1"/>
                </a:solidFill>
              </a:ln>
              <a:effectLst/>
            </c:spPr>
          </c:dPt>
          <c:dPt>
            <c:idx val="1"/>
            <c:bubble3D val="0"/>
            <c:spPr>
              <a:solidFill>
                <a:schemeClr val="tx2">
                  <a:lumMod val="40000"/>
                  <a:lumOff val="60000"/>
                </a:schemeClr>
              </a:solidFill>
              <a:ln>
                <a:solidFill>
                  <a:schemeClr val="bg1"/>
                </a:solidFill>
              </a:ln>
              <a:effectLst/>
            </c:spPr>
          </c:dPt>
          <c:dLbls>
            <c:dLbl>
              <c:idx val="1"/>
              <c:layout>
                <c:manualLayout>
                  <c:x val="0.108353385868382"/>
                  <c:y val="0.10506521997118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0.687</c:v>
                </c:pt>
                <c:pt idx="1">
                  <c:v>0.313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bd50278-c9f1-4eb0-b8d8-8a79e04b7db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财政拨款收入、支出决算总计</a:t>
            </a:r>
            <a:r>
              <a:rPr lang="en-US" altLang="zh-CN"/>
              <a:t>                                                      </a:t>
            </a:r>
            <a:r>
              <a:rPr altLang="en-US"/>
              <a:t>单位：万元</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4237.41</c:v>
                </c:pt>
                <c:pt idx="1">
                  <c:v>3751.5</c:v>
                </c:pt>
              </c:numCache>
            </c:numRef>
          </c:val>
        </c:ser>
        <c:ser>
          <c:idx val="1"/>
          <c:order val="1"/>
          <c:tx>
            <c:strRef>
              <c:f>Sheet1!$C$1</c:f>
              <c:strCache>
                <c:ptCount val="1"/>
                <c:pt idx="0">
                  <c:v>财政拨款支出</c:v>
                </c:pt>
              </c:strCache>
            </c:strRef>
          </c:tx>
          <c:spPr>
            <a:solidFill>
              <a:schemeClr val="tx2">
                <a:lumMod val="20000"/>
                <a:lumOff val="80000"/>
              </a:schemeClr>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4237.41</c:v>
                </c:pt>
                <c:pt idx="1">
                  <c:v>3751.5</c:v>
                </c:pt>
              </c:numCache>
            </c:numRef>
          </c:val>
        </c:ser>
        <c:dLbls>
          <c:showLegendKey val="0"/>
          <c:showVal val="0"/>
          <c:showCatName val="0"/>
          <c:showSerName val="0"/>
          <c:showPercent val="0"/>
          <c:showBubbleSize val="0"/>
        </c:dLbls>
        <c:gapWidth val="246"/>
        <c:overlap val="-28"/>
        <c:axId val="380917743"/>
        <c:axId val="668254049"/>
      </c:barChart>
      <c:catAx>
        <c:axId val="3809177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254049"/>
        <c:crosses val="autoZero"/>
        <c:auto val="1"/>
        <c:lblAlgn val="ctr"/>
        <c:lblOffset val="100"/>
        <c:noMultiLvlLbl val="0"/>
      </c:catAx>
      <c:valAx>
        <c:axId val="66825404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9177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41bd899-2f47-4305-8d93-a8a9891eca7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r>
              <a:rPr lang="en-US" altLang="zh-CN"/>
              <a:t>                      </a:t>
            </a:r>
            <a:r>
              <a:rPr altLang="en-US"/>
              <a:t>单位：万元</a:t>
            </a:r>
            <a:endParaRPr altLang="en-US"/>
          </a:p>
        </c:rich>
      </c:tx>
      <c:layout>
        <c:manualLayout>
          <c:xMode val="edge"/>
          <c:yMode val="edge"/>
          <c:x val="0.205178446991055"/>
          <c:y val="0.0318742031449214"/>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4237.41</c:v>
                </c:pt>
                <c:pt idx="1">
                  <c:v>3751.5</c:v>
                </c:pt>
              </c:numCache>
            </c:numRef>
          </c:val>
        </c:ser>
        <c:dLbls>
          <c:showLegendKey val="0"/>
          <c:showVal val="0"/>
          <c:showCatName val="0"/>
          <c:showSerName val="0"/>
          <c:showPercent val="0"/>
          <c:showBubbleSize val="0"/>
        </c:dLbls>
        <c:gapWidth val="246"/>
        <c:overlap val="-28"/>
        <c:axId val="453826232"/>
        <c:axId val="585939170"/>
      </c:barChart>
      <c:catAx>
        <c:axId val="4538262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5939170"/>
        <c:crosses val="autoZero"/>
        <c:auto val="1"/>
        <c:lblAlgn val="ctr"/>
        <c:lblOffset val="100"/>
        <c:noMultiLvlLbl val="0"/>
      </c:catAx>
      <c:valAx>
        <c:axId val="58593917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8262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a5b7420-4770-426c-b3d7-aa994b0ac61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a:t>
            </a: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一般公共预算财政拨款支出决算</c:v>
                </c:pt>
              </c:strCache>
            </c:strRef>
          </c:tx>
          <c:spPr/>
          <c:explosion val="0"/>
          <c:dPt>
            <c:idx val="0"/>
            <c:bubble3D val="0"/>
            <c:spPr>
              <a:solidFill>
                <a:schemeClr val="accent1"/>
              </a:solidFill>
              <a:ln>
                <a:solidFill>
                  <a:schemeClr val="bg1"/>
                </a:solidFill>
              </a:ln>
              <a:effectLst/>
            </c:spPr>
          </c:dPt>
          <c:dPt>
            <c:idx val="1"/>
            <c:bubble3D val="0"/>
            <c:spPr>
              <a:solidFill>
                <a:schemeClr val="tx2">
                  <a:lumMod val="60000"/>
                  <a:lumOff val="40000"/>
                </a:schemeClr>
              </a:solidFill>
              <a:ln>
                <a:solidFill>
                  <a:schemeClr val="bg1"/>
                </a:solidFill>
              </a:ln>
              <a:effectLst/>
            </c:spPr>
          </c:dPt>
          <c:dPt>
            <c:idx val="2"/>
            <c:bubble3D val="0"/>
            <c:spPr>
              <a:solidFill>
                <a:schemeClr val="tx2">
                  <a:lumMod val="50000"/>
                </a:schemeClr>
              </a:solidFill>
              <a:ln>
                <a:solidFill>
                  <a:schemeClr val="bg1"/>
                </a:solidFill>
              </a:ln>
              <a:effectLst/>
            </c:spPr>
          </c:dPt>
          <c:dPt>
            <c:idx val="3"/>
            <c:bubble3D val="0"/>
            <c:spPr>
              <a:solidFill>
                <a:schemeClr val="accent1">
                  <a:lumMod val="20000"/>
                  <a:lumOff val="80000"/>
                </a:schemeClr>
              </a:solidFill>
              <a:ln>
                <a:solidFill>
                  <a:schemeClr val="bg1"/>
                </a:solidFill>
              </a:ln>
              <a:effectLst/>
            </c:spPr>
          </c:dPt>
          <c:dLbls>
            <c:dLbl>
              <c:idx val="3"/>
              <c:layout>
                <c:manualLayout>
                  <c:x val="0.0308607742782539"/>
                  <c:y val="0.0054489289363546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0.00%</c:formatCode>
                <c:ptCount val="4"/>
                <c:pt idx="0">
                  <c:v>0.8655</c:v>
                </c:pt>
                <c:pt idx="1">
                  <c:v>0.0615</c:v>
                </c:pt>
                <c:pt idx="2">
                  <c:v>0.0313</c:v>
                </c:pt>
                <c:pt idx="3">
                  <c:v>0.0417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85acf0b-b2db-4817-ae7c-671fafffa6f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a:t>
            </a:r>
          </a:p>
        </c:rich>
      </c:tx>
      <c:layout>
        <c:manualLayout>
          <c:xMode val="edge"/>
          <c:yMode val="edge"/>
          <c:x val="0.257308528630104"/>
          <c:y val="0.0414364640883978"/>
        </c:manualLayout>
      </c:layout>
      <c:overlay val="0"/>
      <c:spPr>
        <a:noFill/>
        <a:ln>
          <a:noFill/>
        </a:ln>
        <a:effectLst/>
      </c:spPr>
    </c:title>
    <c:autoTitleDeleted val="0"/>
    <c:plotArea>
      <c:layout/>
      <c:pieChart>
        <c:varyColors val="1"/>
        <c:ser>
          <c:idx val="0"/>
          <c:order val="0"/>
          <c:tx>
            <c:strRef>
              <c:f>Sheet1!$B$1</c:f>
              <c:strCache>
                <c:ptCount val="1"/>
                <c:pt idx="0">
                  <c:v>财政拨款“三公”经费支出</c:v>
                </c:pt>
              </c:strCache>
            </c:strRef>
          </c:tx>
          <c:spPr/>
          <c:explosion val="0"/>
          <c:dPt>
            <c:idx val="0"/>
            <c:bubble3D val="0"/>
            <c:spPr>
              <a:solidFill>
                <a:schemeClr val="accent1"/>
              </a:solidFill>
              <a:ln>
                <a:solidFill>
                  <a:schemeClr val="bg1"/>
                </a:solidFill>
              </a:ln>
              <a:effectLst/>
            </c:spPr>
          </c:dPt>
          <c:dPt>
            <c:idx val="1"/>
            <c:bubble3D val="0"/>
            <c:spPr>
              <a:solidFill>
                <a:schemeClr val="accent1">
                  <a:lumMod val="5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公务用车购置及运行维护费支出</c:v>
                </c:pt>
                <c:pt idx="1">
                  <c:v>公务接待费支出</c:v>
                </c:pt>
              </c:strCache>
            </c:strRef>
          </c:cat>
          <c:val>
            <c:numRef>
              <c:f>Sheet1!$B$2:$B$3</c:f>
              <c:numCache>
                <c:formatCode>0.00%</c:formatCode>
                <c:ptCount val="2"/>
                <c:pt idx="0">
                  <c:v>0.997</c:v>
                </c:pt>
                <c:pt idx="1">
                  <c:v>0.003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88d7f67-b12f-4d97-9e5f-5f58dc79b7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35</Pages>
  <Words>1002</Words>
  <Characters>2120</Characters>
  <Lines>61</Lines>
  <Paragraphs>17</Paragraphs>
  <TotalTime>6</TotalTime>
  <ScaleCrop>false</ScaleCrop>
  <LinksUpToDate>false</LinksUpToDate>
  <CharactersWithSpaces>2128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2026-09-03T18:41:00Z</dcterms:created>
  <dc:creator>曹颖</dc:creator>
  <cp:lastModifiedBy>阿依玛</cp:lastModifiedBy>
  <cp:lastPrinted>2026-09-17T03:01:00Z</cp:lastPrinted>
  <dcterms:modified xsi:type="dcterms:W3CDTF">2026-09-17T08:43:09Z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9675FE7813254FCBB00F6B920832564D_13</vt:lpwstr>
  </property>
  <property fmtid="{D5CDD505-2E9C-101B-9397-08002B2CF9AE}" pid="4" name="KSOTemplateDocerSaveRecord">
    <vt:lpwstr>eyJoZGlkIjoiMmQ5ZWI2NzQwYzQ5ODkwYWQ4OTlhOTA5ZmM4OTgxNmUiLCJ1c2VySWQiOiI2NjU2MjQzNjMifQ==</vt:lpwstr>
  </property>
</Properties>
</file>